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1"/>
          <w:numId w:val="0"/>
        </w:numPr>
        <w:kinsoku/>
        <w:wordWrap/>
        <w:overflowPunct/>
        <w:topLinePunct w:val="0"/>
        <w:autoSpaceDE/>
        <w:autoSpaceDN/>
        <w:bidi w:val="0"/>
        <w:adjustRightInd/>
        <w:snapToGrid/>
        <w:spacing w:before="0" w:after="0" w:line="413" w:lineRule="auto"/>
        <w:ind w:leftChars="0"/>
        <w:jc w:val="center"/>
        <w:textAlignment w:val="auto"/>
        <w:rPr>
          <w:rFonts w:hint="default"/>
          <w:sz w:val="32"/>
          <w:szCs w:val="32"/>
          <w:lang w:val="en-US" w:eastAsia="zh-CN"/>
        </w:rPr>
      </w:pPr>
      <w:bookmarkStart w:id="3" w:name="_GoBack"/>
      <w:bookmarkEnd w:id="3"/>
      <w:bookmarkStart w:id="0" w:name="_Toc28651"/>
      <w:r>
        <w:rPr>
          <w:rFonts w:hint="eastAsia"/>
          <w:sz w:val="32"/>
          <w:szCs w:val="32"/>
          <w:lang w:val="en-US" w:eastAsia="zh-CN"/>
        </w:rPr>
        <w:t>附件：铜仁幼儿师范高等专科学校网络安全服务采购项目清单</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413" w:lineRule="auto"/>
        <w:ind w:leftChars="0"/>
        <w:textAlignment w:val="auto"/>
        <w:rPr>
          <w:rFonts w:hint="default"/>
          <w:lang w:val="en-US" w:eastAsia="zh-CN"/>
        </w:rPr>
      </w:pPr>
      <w:r>
        <w:rPr>
          <w:rFonts w:hint="eastAsia"/>
          <w:lang w:val="en-US" w:eastAsia="zh-CN"/>
        </w:rPr>
        <w:t>一、等保测评服务清单</w:t>
      </w:r>
      <w:bookmarkEnd w:id="0"/>
    </w:p>
    <w:tbl>
      <w:tblPr>
        <w:tblStyle w:val="13"/>
        <w:tblpPr w:leftFromText="180" w:rightFromText="180" w:vertAnchor="text" w:horzAnchor="page" w:tblpXSpec="center" w:tblpY="208"/>
        <w:tblOverlap w:val="never"/>
        <w:tblW w:w="48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906"/>
        <w:gridCol w:w="844"/>
        <w:gridCol w:w="642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28" w:type="pct"/>
            <w:vAlign w:val="center"/>
          </w:tcPr>
          <w:p>
            <w:pPr>
              <w:pStyle w:val="6"/>
              <w:keepNext w:val="0"/>
              <w:keepLines w:val="0"/>
              <w:pageBreakBefore w:val="0"/>
              <w:widowControl w:val="0"/>
              <w:kinsoku/>
              <w:wordWrap/>
              <w:overflowPunct/>
              <w:topLinePunct w:val="0"/>
              <w:autoSpaceDE/>
              <w:autoSpaceDN/>
              <w:bidi w:val="0"/>
              <w:adjustRightInd/>
              <w:snapToGrid/>
              <w:spacing w:before="158" w:line="312" w:lineRule="auto"/>
              <w:ind w:left="0" w:leftChars="0" w:right="0" w:rightChars="0" w:firstLine="0" w:firstLineChars="0"/>
              <w:jc w:val="center"/>
              <w:textAlignment w:val="auto"/>
              <w:rPr>
                <w:rFonts w:hint="eastAsia" w:ascii="仿宋_GB2312" w:hAnsi="仿宋_GB2312" w:eastAsia="仿宋_GB2312" w:cs="仿宋_GB2312"/>
                <w:b/>
                <w:bCs/>
                <w:kern w:val="2"/>
                <w:sz w:val="24"/>
                <w:szCs w:val="24"/>
                <w:vertAlign w:val="baseline"/>
                <w:lang w:val="en-US" w:eastAsia="zh-CN" w:bidi="en-US"/>
              </w:rPr>
            </w:pPr>
            <w:r>
              <w:rPr>
                <w:rFonts w:hint="eastAsia" w:ascii="仿宋_GB2312" w:hAnsi="仿宋_GB2312" w:eastAsia="仿宋_GB2312" w:cs="仿宋_GB2312"/>
                <w:b/>
                <w:bCs/>
                <w:sz w:val="21"/>
                <w:szCs w:val="24"/>
                <w:vertAlign w:val="baseline"/>
                <w:lang w:val="en-US" w:eastAsia="zh-CN"/>
              </w:rPr>
              <w:t>序号</w:t>
            </w:r>
          </w:p>
        </w:tc>
        <w:tc>
          <w:tcPr>
            <w:tcW w:w="468" w:type="pct"/>
            <w:vAlign w:val="center"/>
          </w:tcPr>
          <w:p>
            <w:pPr>
              <w:pStyle w:val="6"/>
              <w:keepNext w:val="0"/>
              <w:keepLines w:val="0"/>
              <w:pageBreakBefore w:val="0"/>
              <w:widowControl w:val="0"/>
              <w:kinsoku/>
              <w:wordWrap/>
              <w:overflowPunct/>
              <w:topLinePunct w:val="0"/>
              <w:autoSpaceDE/>
              <w:autoSpaceDN/>
              <w:bidi w:val="0"/>
              <w:adjustRightInd/>
              <w:snapToGrid/>
              <w:spacing w:before="158" w:line="312" w:lineRule="auto"/>
              <w:ind w:right="0" w:rightChars="0"/>
              <w:jc w:val="center"/>
              <w:textAlignment w:val="auto"/>
              <w:rPr>
                <w:rFonts w:hint="default" w:ascii="仿宋_GB2312" w:hAnsi="仿宋_GB2312" w:eastAsia="仿宋_GB2312" w:cs="仿宋_GB2312"/>
                <w:b/>
                <w:bCs/>
                <w:sz w:val="21"/>
                <w:szCs w:val="24"/>
                <w:vertAlign w:val="baseline"/>
                <w:lang w:val="en-US" w:eastAsia="zh-CN"/>
              </w:rPr>
            </w:pPr>
            <w:r>
              <w:rPr>
                <w:rFonts w:hint="eastAsia" w:ascii="仿宋_GB2312" w:hAnsi="仿宋_GB2312" w:eastAsia="仿宋_GB2312" w:cs="仿宋_GB2312"/>
                <w:b/>
                <w:bCs/>
                <w:sz w:val="21"/>
                <w:szCs w:val="24"/>
                <w:vertAlign w:val="baseline"/>
                <w:lang w:val="en-US" w:eastAsia="zh-CN"/>
              </w:rPr>
              <w:t>服务项目</w:t>
            </w:r>
          </w:p>
        </w:tc>
        <w:tc>
          <w:tcPr>
            <w:tcW w:w="436" w:type="pct"/>
            <w:vAlign w:val="center"/>
          </w:tcPr>
          <w:p>
            <w:pPr>
              <w:pStyle w:val="6"/>
              <w:keepNext w:val="0"/>
              <w:keepLines w:val="0"/>
              <w:pageBreakBefore w:val="0"/>
              <w:widowControl w:val="0"/>
              <w:kinsoku/>
              <w:wordWrap/>
              <w:overflowPunct/>
              <w:topLinePunct w:val="0"/>
              <w:autoSpaceDE/>
              <w:autoSpaceDN/>
              <w:bidi w:val="0"/>
              <w:adjustRightInd/>
              <w:snapToGrid/>
              <w:spacing w:before="158" w:line="312" w:lineRule="auto"/>
              <w:ind w:right="0" w:rightChars="0"/>
              <w:jc w:val="center"/>
              <w:textAlignment w:val="auto"/>
              <w:rPr>
                <w:rFonts w:hint="default" w:ascii="仿宋_GB2312" w:hAnsi="仿宋_GB2312" w:eastAsia="仿宋_GB2312" w:cs="仿宋_GB2312"/>
                <w:b/>
                <w:bCs/>
                <w:sz w:val="21"/>
                <w:szCs w:val="24"/>
                <w:vertAlign w:val="baseline"/>
                <w:lang w:val="en-US" w:eastAsia="zh-CN"/>
              </w:rPr>
            </w:pPr>
            <w:r>
              <w:rPr>
                <w:rFonts w:hint="eastAsia" w:ascii="仿宋_GB2312" w:hAnsi="仿宋_GB2312" w:eastAsia="仿宋_GB2312" w:cs="仿宋_GB2312"/>
                <w:b/>
                <w:bCs/>
                <w:sz w:val="21"/>
                <w:szCs w:val="24"/>
                <w:vertAlign w:val="baseline"/>
                <w:lang w:val="en-US" w:eastAsia="zh-CN"/>
              </w:rPr>
              <w:t>服务内容</w:t>
            </w:r>
          </w:p>
        </w:tc>
        <w:tc>
          <w:tcPr>
            <w:tcW w:w="3315" w:type="pct"/>
            <w:vAlign w:val="center"/>
          </w:tcPr>
          <w:p>
            <w:pPr>
              <w:pStyle w:val="6"/>
              <w:keepNext w:val="0"/>
              <w:keepLines w:val="0"/>
              <w:pageBreakBefore w:val="0"/>
              <w:widowControl w:val="0"/>
              <w:kinsoku/>
              <w:wordWrap/>
              <w:overflowPunct/>
              <w:topLinePunct w:val="0"/>
              <w:autoSpaceDE/>
              <w:autoSpaceDN/>
              <w:bidi w:val="0"/>
              <w:adjustRightInd/>
              <w:snapToGrid/>
              <w:spacing w:before="158" w:line="312" w:lineRule="auto"/>
              <w:ind w:right="0" w:rightChars="0"/>
              <w:jc w:val="center"/>
              <w:textAlignment w:val="auto"/>
              <w:rPr>
                <w:rFonts w:hint="eastAsia" w:ascii="仿宋_GB2312" w:hAnsi="仿宋_GB2312" w:eastAsia="仿宋_GB2312" w:cs="仿宋_GB2312"/>
                <w:b/>
                <w:bCs/>
                <w:sz w:val="21"/>
                <w:szCs w:val="24"/>
                <w:vertAlign w:val="baseline"/>
                <w:lang w:val="en-US" w:eastAsia="zh-CN"/>
              </w:rPr>
            </w:pPr>
            <w:r>
              <w:rPr>
                <w:rFonts w:hint="eastAsia" w:ascii="仿宋_GB2312" w:hAnsi="仿宋_GB2312" w:eastAsia="仿宋_GB2312" w:cs="仿宋_GB2312"/>
                <w:b/>
                <w:bCs/>
                <w:sz w:val="21"/>
                <w:szCs w:val="24"/>
                <w:vertAlign w:val="baseline"/>
                <w:lang w:val="en-US" w:eastAsia="zh-CN"/>
              </w:rPr>
              <w:t>服务要求</w:t>
            </w:r>
          </w:p>
        </w:tc>
        <w:tc>
          <w:tcPr>
            <w:tcW w:w="550" w:type="pct"/>
            <w:vAlign w:val="center"/>
          </w:tcPr>
          <w:p>
            <w:pPr>
              <w:pStyle w:val="6"/>
              <w:keepNext w:val="0"/>
              <w:keepLines w:val="0"/>
              <w:pageBreakBefore w:val="0"/>
              <w:widowControl w:val="0"/>
              <w:kinsoku/>
              <w:wordWrap/>
              <w:overflowPunct/>
              <w:topLinePunct w:val="0"/>
              <w:autoSpaceDE/>
              <w:autoSpaceDN/>
              <w:bidi w:val="0"/>
              <w:adjustRightInd/>
              <w:snapToGrid/>
              <w:spacing w:before="158" w:line="312" w:lineRule="auto"/>
              <w:ind w:right="0" w:rightChars="0"/>
              <w:jc w:val="center"/>
              <w:textAlignment w:val="auto"/>
              <w:rPr>
                <w:rFonts w:hint="default" w:ascii="仿宋_GB2312" w:hAnsi="仿宋_GB2312" w:eastAsia="仿宋_GB2312" w:cs="仿宋_GB2312"/>
                <w:b/>
                <w:bCs/>
                <w:sz w:val="21"/>
                <w:szCs w:val="24"/>
                <w:vertAlign w:val="baseline"/>
                <w:lang w:val="en-US" w:eastAsia="zh-CN"/>
              </w:rPr>
            </w:pPr>
            <w:r>
              <w:rPr>
                <w:rFonts w:hint="eastAsia" w:ascii="仿宋_GB2312" w:hAnsi="仿宋_GB2312" w:eastAsia="仿宋_GB2312" w:cs="仿宋_GB2312"/>
                <w:b/>
                <w:bCs/>
                <w:sz w:val="21"/>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228" w:type="pct"/>
            <w:vMerge w:val="restart"/>
            <w:vAlign w:val="center"/>
          </w:tcPr>
          <w:p>
            <w:pPr>
              <w:pStyle w:val="6"/>
              <w:keepNext w:val="0"/>
              <w:keepLines w:val="0"/>
              <w:pageBreakBefore w:val="0"/>
              <w:widowControl w:val="0"/>
              <w:numPr>
                <w:ilvl w:val="0"/>
                <w:numId w:val="2"/>
              </w:numPr>
              <w:kinsoku/>
              <w:wordWrap/>
              <w:overflowPunct/>
              <w:topLinePunct w:val="0"/>
              <w:autoSpaceDE/>
              <w:autoSpaceDN/>
              <w:bidi w:val="0"/>
              <w:adjustRightInd/>
              <w:snapToGrid/>
              <w:spacing w:before="158" w:line="312" w:lineRule="auto"/>
              <w:ind w:left="-420" w:leftChars="0" w:right="0" w:firstLine="420" w:firstLineChars="0"/>
              <w:jc w:val="center"/>
              <w:textAlignment w:val="auto"/>
              <w:rPr>
                <w:rFonts w:hint="eastAsia" w:ascii="仿宋_GB2312" w:hAnsi="仿宋_GB2312" w:eastAsia="仿宋_GB2312" w:cs="仿宋_GB2312"/>
                <w:sz w:val="21"/>
                <w:szCs w:val="24"/>
                <w:vertAlign w:val="baseline"/>
                <w:lang w:val="en-US" w:eastAsia="zh-CN"/>
              </w:rPr>
            </w:pPr>
          </w:p>
        </w:tc>
        <w:tc>
          <w:tcPr>
            <w:tcW w:w="468" w:type="pct"/>
            <w:vMerge w:val="restart"/>
            <w:vAlign w:val="center"/>
          </w:tcPr>
          <w:p>
            <w:pPr>
              <w:pStyle w:val="6"/>
              <w:keepNext w:val="0"/>
              <w:keepLines w:val="0"/>
              <w:pageBreakBefore w:val="0"/>
              <w:widowControl w:val="0"/>
              <w:kinsoku/>
              <w:wordWrap/>
              <w:overflowPunct/>
              <w:topLinePunct w:val="0"/>
              <w:autoSpaceDE/>
              <w:autoSpaceDN/>
              <w:bidi w:val="0"/>
              <w:adjustRightInd/>
              <w:snapToGrid/>
              <w:spacing w:before="158" w:line="312" w:lineRule="auto"/>
              <w:ind w:left="0" w:leftChars="0" w:right="0" w:firstLine="0" w:firstLineChars="0"/>
              <w:jc w:val="center"/>
              <w:textAlignment w:val="auto"/>
              <w:rPr>
                <w:rFonts w:hint="eastAsia" w:ascii="仿宋_GB2312" w:hAnsi="仿宋_GB2312" w:eastAsia="仿宋_GB2312" w:cs="仿宋_GB2312"/>
                <w:sz w:val="21"/>
                <w:szCs w:val="24"/>
                <w:lang w:val="en-US" w:eastAsia="zh-CN"/>
              </w:rPr>
            </w:pPr>
            <w:r>
              <w:rPr>
                <w:rFonts w:hint="eastAsia" w:ascii="仿宋_GB2312" w:hAnsi="仿宋_GB2312" w:eastAsia="仿宋_GB2312" w:cs="仿宋_GB2312"/>
                <w:sz w:val="21"/>
                <w:szCs w:val="24"/>
              </w:rPr>
              <w:t>二级测评</w:t>
            </w:r>
          </w:p>
        </w:tc>
        <w:tc>
          <w:tcPr>
            <w:tcW w:w="436" w:type="pct"/>
            <w:vAlign w:val="center"/>
          </w:tcPr>
          <w:p>
            <w:pPr>
              <w:pageBreakBefore w:val="0"/>
              <w:kinsoku/>
              <w:wordWrap/>
              <w:overflowPunct/>
              <w:topLinePunct w:val="0"/>
              <w:autoSpaceDE/>
              <w:autoSpaceDN/>
              <w:bidi w:val="0"/>
              <w:adjustRightInd/>
              <w:snapToGrid/>
              <w:spacing w:line="312" w:lineRule="auto"/>
              <w:jc w:val="center"/>
              <w:textAlignment w:val="center"/>
              <w:rPr>
                <w:rFonts w:hint="eastAsia" w:ascii="仿宋_GB2312" w:hAnsi="仿宋_GB2312" w:eastAsia="仿宋_GB2312" w:cs="仿宋_GB2312"/>
                <w:color w:val="FF0000"/>
                <w:sz w:val="21"/>
                <w:szCs w:val="24"/>
                <w:vertAlign w:val="baseline"/>
                <w:lang w:val="en-US" w:eastAsia="zh-CN"/>
              </w:rPr>
            </w:pPr>
            <w:r>
              <w:rPr>
                <w:rFonts w:hint="eastAsia" w:ascii="仿宋_GB2312" w:hAnsi="仿宋_GB2312" w:eastAsia="仿宋_GB2312" w:cs="仿宋_GB2312"/>
                <w:sz w:val="21"/>
                <w:szCs w:val="24"/>
              </w:rPr>
              <w:t>教务系统</w:t>
            </w:r>
          </w:p>
        </w:tc>
        <w:tc>
          <w:tcPr>
            <w:tcW w:w="3315" w:type="pct"/>
            <w:vMerge w:val="restart"/>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both"/>
              <w:textAlignment w:val="auto"/>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bidi="ar"/>
              </w:rPr>
              <w:t>1、</w:t>
            </w:r>
            <w:r>
              <w:rPr>
                <w:rFonts w:hint="eastAsia" w:ascii="仿宋_GB2312" w:hAnsi="仿宋_GB2312" w:eastAsia="仿宋_GB2312" w:cs="仿宋_GB2312"/>
                <w:sz w:val="21"/>
                <w:szCs w:val="21"/>
                <w:lang w:val="en-US" w:eastAsia="zh-CN"/>
              </w:rPr>
              <w:t>安全测评服务人员和要求：开展等保测评工作，需明确一名具有信息安全等级测评师中级资格证书或以上的人员作为整个项目实施的项目经理，负责整个项目的协调、沟通、时间安排、进度督促、测评安排等工作。明确参与该项目现场测评并提供服务的人员具备安全等级测评师初级及以上资格，并按规定签订安全保密相关的协议或责任书，</w:t>
            </w:r>
            <w:r>
              <w:rPr>
                <w:rFonts w:hint="eastAsia" w:ascii="仿宋_GB2312" w:hAnsi="仿宋_GB2312" w:eastAsia="仿宋_GB2312" w:cs="仿宋_GB2312"/>
                <w:color w:val="auto"/>
                <w:kern w:val="0"/>
                <w:sz w:val="21"/>
                <w:szCs w:val="21"/>
                <w:highlight w:val="none"/>
                <w:lang w:bidi="ar"/>
              </w:rPr>
              <w:t>协助</w:t>
            </w:r>
            <w:r>
              <w:rPr>
                <w:rFonts w:hint="eastAsia" w:ascii="仿宋_GB2312" w:hAnsi="仿宋_GB2312" w:eastAsia="仿宋_GB2312" w:cs="仿宋_GB2312"/>
                <w:color w:val="auto"/>
                <w:kern w:val="0"/>
                <w:sz w:val="21"/>
                <w:szCs w:val="21"/>
                <w:highlight w:val="none"/>
                <w:lang w:val="en-US" w:eastAsia="zh-CN" w:bidi="ar"/>
              </w:rPr>
              <w:t>学校</w:t>
            </w:r>
            <w:r>
              <w:rPr>
                <w:rFonts w:hint="eastAsia" w:ascii="仿宋_GB2312" w:hAnsi="仿宋_GB2312" w:eastAsia="仿宋_GB2312" w:cs="仿宋_GB2312"/>
                <w:color w:val="auto"/>
                <w:kern w:val="0"/>
                <w:sz w:val="21"/>
                <w:szCs w:val="21"/>
                <w:highlight w:val="none"/>
                <w:lang w:bidi="ar"/>
              </w:rPr>
              <w:t>对信息系统进行定级确认、填写备案相关资料；</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bidi="ar"/>
              </w:rPr>
              <w:t>2、网络安全等级保护测评，按照等保2.0标准，测评范围包括物理环境、主机、网络、业务、应用系统、安全管理制度和人员等。包含初次测评和验收测评，提供整改建议书和测评报告。</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3、安全测评通过静态评估、现场测试，综合评估等相关环节和阶段，从安全物理环境、安全通信网络、安全区域边界、安全计算环境、安全管理中心、安全管理制度、安全管理机构、安全管理人员、安全建设管理、安全运维管理十个方面，对被测评对象进行综合测评。</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val="en-US" w:eastAsia="zh-CN" w:bidi="ar"/>
              </w:rPr>
              <w:t>4</w:t>
            </w:r>
            <w:r>
              <w:rPr>
                <w:rFonts w:hint="eastAsia" w:ascii="仿宋_GB2312" w:hAnsi="仿宋_GB2312" w:eastAsia="仿宋_GB2312" w:cs="仿宋_GB2312"/>
                <w:color w:val="auto"/>
                <w:kern w:val="0"/>
                <w:sz w:val="21"/>
                <w:szCs w:val="21"/>
                <w:highlight w:val="none"/>
                <w:lang w:bidi="ar"/>
              </w:rPr>
              <w:t>、二级等保测评指标68项，</w:t>
            </w:r>
            <w:r>
              <w:rPr>
                <w:rFonts w:hint="eastAsia" w:ascii="仿宋_GB2312" w:hAnsi="仿宋_GB2312" w:eastAsia="仿宋_GB2312" w:cs="仿宋_GB2312"/>
                <w:color w:val="auto"/>
                <w:kern w:val="0"/>
                <w:sz w:val="21"/>
                <w:szCs w:val="21"/>
                <w:highlight w:val="none"/>
                <w:lang w:val="en-US" w:eastAsia="zh-CN" w:bidi="ar"/>
              </w:rPr>
              <w:t>135</w:t>
            </w:r>
            <w:r>
              <w:rPr>
                <w:rFonts w:hint="eastAsia" w:ascii="仿宋_GB2312" w:hAnsi="仿宋_GB2312" w:eastAsia="仿宋_GB2312" w:cs="仿宋_GB2312"/>
                <w:color w:val="auto"/>
                <w:kern w:val="0"/>
                <w:sz w:val="21"/>
                <w:szCs w:val="21"/>
                <w:highlight w:val="none"/>
                <w:lang w:bidi="ar"/>
              </w:rPr>
              <w:t>个测评项。（仅安全通用标准，根据系统部署方式进行测评指标选择）</w:t>
            </w:r>
          </w:p>
          <w:p>
            <w:pPr>
              <w:pageBreakBefore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sz w:val="21"/>
                <w:szCs w:val="24"/>
              </w:rPr>
            </w:pPr>
            <w:r>
              <w:rPr>
                <w:rFonts w:hint="eastAsia" w:ascii="仿宋_GB2312" w:hAnsi="仿宋_GB2312" w:eastAsia="仿宋_GB2312" w:cs="仿宋_GB2312"/>
                <w:color w:val="auto"/>
                <w:kern w:val="0"/>
                <w:sz w:val="21"/>
                <w:szCs w:val="21"/>
                <w:highlight w:val="none"/>
                <w:lang w:val="en-US" w:eastAsia="zh-CN" w:bidi="ar"/>
              </w:rPr>
              <w:t>5</w:t>
            </w:r>
            <w:r>
              <w:rPr>
                <w:rFonts w:hint="eastAsia" w:ascii="仿宋_GB2312" w:hAnsi="仿宋_GB2312" w:eastAsia="仿宋_GB2312" w:cs="仿宋_GB2312"/>
                <w:color w:val="auto"/>
                <w:kern w:val="0"/>
                <w:sz w:val="21"/>
                <w:szCs w:val="21"/>
                <w:highlight w:val="none"/>
                <w:lang w:bidi="ar"/>
              </w:rPr>
              <w:t>、提交资料：定级备案相关资料、问题清单、测评报告</w:t>
            </w:r>
          </w:p>
        </w:tc>
        <w:tc>
          <w:tcPr>
            <w:tcW w:w="550" w:type="pct"/>
            <w:vMerge w:val="restart"/>
            <w:vAlign w:val="top"/>
          </w:tcPr>
          <w:p>
            <w:pPr>
              <w:pageBreakBefore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jc w:val="center"/>
        </w:trPr>
        <w:tc>
          <w:tcPr>
            <w:tcW w:w="228" w:type="pct"/>
            <w:vMerge w:val="continue"/>
            <w:vAlign w:val="center"/>
          </w:tcPr>
          <w:p>
            <w:pPr>
              <w:pageBreakBefore w:val="0"/>
              <w:kinsoku/>
              <w:wordWrap/>
              <w:overflowPunct/>
              <w:topLinePunct w:val="0"/>
              <w:autoSpaceDE/>
              <w:autoSpaceDN/>
              <w:bidi w:val="0"/>
              <w:adjustRightInd/>
              <w:snapToGrid/>
              <w:spacing w:line="312" w:lineRule="auto"/>
              <w:ind w:left="-420" w:leftChars="0" w:firstLine="420" w:firstLineChars="0"/>
              <w:jc w:val="center"/>
              <w:rPr>
                <w:rFonts w:hint="eastAsia" w:ascii="仿宋_GB2312" w:hAnsi="仿宋_GB2312" w:eastAsia="仿宋_GB2312" w:cs="仿宋_GB2312"/>
                <w:sz w:val="21"/>
                <w:szCs w:val="24"/>
                <w:lang w:val="en-US" w:eastAsia="zh-CN"/>
              </w:rPr>
            </w:pPr>
          </w:p>
        </w:tc>
        <w:tc>
          <w:tcPr>
            <w:tcW w:w="468" w:type="pct"/>
            <w:vMerge w:val="continue"/>
            <w:vAlign w:val="center"/>
          </w:tcPr>
          <w:p>
            <w:pPr>
              <w:pStyle w:val="6"/>
              <w:keepNext w:val="0"/>
              <w:keepLines w:val="0"/>
              <w:pageBreakBefore w:val="0"/>
              <w:widowControl w:val="0"/>
              <w:kinsoku/>
              <w:wordWrap/>
              <w:overflowPunct/>
              <w:topLinePunct w:val="0"/>
              <w:autoSpaceDE/>
              <w:autoSpaceDN/>
              <w:bidi w:val="0"/>
              <w:adjustRightInd/>
              <w:snapToGrid/>
              <w:spacing w:before="158" w:line="312" w:lineRule="auto"/>
              <w:ind w:left="0" w:leftChars="0" w:right="0" w:firstLine="0" w:firstLineChars="0"/>
              <w:jc w:val="center"/>
              <w:textAlignment w:val="auto"/>
              <w:rPr>
                <w:rFonts w:hint="eastAsia" w:ascii="仿宋_GB2312" w:hAnsi="仿宋_GB2312" w:eastAsia="仿宋_GB2312" w:cs="仿宋_GB2312"/>
                <w:sz w:val="21"/>
                <w:szCs w:val="24"/>
                <w:vertAlign w:val="baseline"/>
              </w:rPr>
            </w:pPr>
          </w:p>
        </w:tc>
        <w:tc>
          <w:tcPr>
            <w:tcW w:w="436" w:type="pct"/>
            <w:vAlign w:val="center"/>
          </w:tcPr>
          <w:p>
            <w:pPr>
              <w:pageBreakBefore w:val="0"/>
              <w:kinsoku/>
              <w:wordWrap/>
              <w:overflowPunct/>
              <w:topLinePunct w:val="0"/>
              <w:autoSpaceDE/>
              <w:autoSpaceDN/>
              <w:bidi w:val="0"/>
              <w:adjustRightInd/>
              <w:snapToGrid/>
              <w:spacing w:line="312" w:lineRule="auto"/>
              <w:jc w:val="center"/>
              <w:textAlignment w:val="center"/>
              <w:rPr>
                <w:rFonts w:hint="eastAsia" w:ascii="仿宋_GB2312" w:hAnsi="仿宋_GB2312" w:eastAsia="仿宋_GB2312" w:cs="仿宋_GB2312"/>
                <w:color w:val="FF0000"/>
                <w:sz w:val="21"/>
                <w:szCs w:val="24"/>
                <w:vertAlign w:val="baseline"/>
              </w:rPr>
            </w:pPr>
            <w:r>
              <w:rPr>
                <w:rFonts w:hint="eastAsia" w:ascii="仿宋_GB2312" w:hAnsi="仿宋_GB2312" w:eastAsia="仿宋_GB2312" w:cs="仿宋_GB2312"/>
                <w:sz w:val="21"/>
                <w:szCs w:val="24"/>
              </w:rPr>
              <w:t>学工系统</w:t>
            </w:r>
          </w:p>
        </w:tc>
        <w:tc>
          <w:tcPr>
            <w:tcW w:w="3315" w:type="pct"/>
            <w:vMerge w:val="continue"/>
            <w:vAlign w:val="center"/>
          </w:tcPr>
          <w:p>
            <w:pPr>
              <w:pageBreakBefore w:val="0"/>
              <w:kinsoku/>
              <w:wordWrap/>
              <w:overflowPunct/>
              <w:topLinePunct w:val="0"/>
              <w:autoSpaceDE/>
              <w:autoSpaceDN/>
              <w:bidi w:val="0"/>
              <w:adjustRightInd/>
              <w:snapToGrid/>
              <w:spacing w:line="312" w:lineRule="auto"/>
              <w:jc w:val="center"/>
              <w:textAlignment w:val="center"/>
              <w:rPr>
                <w:rFonts w:hint="eastAsia" w:ascii="仿宋_GB2312" w:hAnsi="仿宋_GB2312" w:eastAsia="仿宋_GB2312" w:cs="仿宋_GB2312"/>
                <w:sz w:val="21"/>
                <w:szCs w:val="24"/>
              </w:rPr>
            </w:pPr>
          </w:p>
        </w:tc>
        <w:tc>
          <w:tcPr>
            <w:tcW w:w="550" w:type="pct"/>
            <w:vMerge w:val="continue"/>
            <w:vAlign w:val="center"/>
          </w:tcPr>
          <w:p>
            <w:pPr>
              <w:pageBreakBefore w:val="0"/>
              <w:kinsoku/>
              <w:wordWrap/>
              <w:overflowPunct/>
              <w:topLinePunct w:val="0"/>
              <w:autoSpaceDE/>
              <w:autoSpaceDN/>
              <w:bidi w:val="0"/>
              <w:adjustRightInd/>
              <w:snapToGrid/>
              <w:spacing w:line="312" w:lineRule="auto"/>
              <w:jc w:val="center"/>
              <w:textAlignment w:val="center"/>
              <w:rPr>
                <w:rFonts w:hint="eastAsia" w:ascii="仿宋_GB2312" w:hAnsi="仿宋_GB2312" w:eastAsia="仿宋_GB2312" w:cs="仿宋_GB231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28" w:type="pct"/>
            <w:vMerge w:val="continue"/>
            <w:vAlign w:val="center"/>
          </w:tcPr>
          <w:p>
            <w:pPr>
              <w:pageBreakBefore w:val="0"/>
              <w:kinsoku/>
              <w:wordWrap/>
              <w:overflowPunct/>
              <w:topLinePunct w:val="0"/>
              <w:autoSpaceDE/>
              <w:autoSpaceDN/>
              <w:bidi w:val="0"/>
              <w:adjustRightInd/>
              <w:snapToGrid/>
              <w:spacing w:line="312" w:lineRule="auto"/>
              <w:ind w:left="-420" w:leftChars="0" w:firstLine="420" w:firstLineChars="0"/>
              <w:jc w:val="center"/>
              <w:rPr>
                <w:rFonts w:hint="eastAsia" w:ascii="仿宋_GB2312" w:hAnsi="仿宋_GB2312" w:eastAsia="仿宋_GB2312" w:cs="仿宋_GB2312"/>
                <w:sz w:val="21"/>
                <w:szCs w:val="24"/>
                <w:lang w:val="en-US" w:eastAsia="zh-CN"/>
              </w:rPr>
            </w:pPr>
          </w:p>
        </w:tc>
        <w:tc>
          <w:tcPr>
            <w:tcW w:w="468" w:type="pct"/>
            <w:vMerge w:val="continue"/>
            <w:vAlign w:val="center"/>
          </w:tcPr>
          <w:p>
            <w:pPr>
              <w:keepNext w:val="0"/>
              <w:keepLines w:val="0"/>
              <w:pageBreakBefore w:val="0"/>
              <w:widowControl w:val="0"/>
              <w:kinsoku/>
              <w:wordWrap/>
              <w:overflowPunct/>
              <w:topLinePunct w:val="0"/>
              <w:autoSpaceDE/>
              <w:autoSpaceDN/>
              <w:bidi w:val="0"/>
              <w:adjustRightInd/>
              <w:snapToGrid/>
              <w:spacing w:before="158" w:line="312" w:lineRule="auto"/>
              <w:ind w:right="0" w:rightChars="0"/>
              <w:jc w:val="center"/>
              <w:textAlignment w:val="auto"/>
              <w:rPr>
                <w:rFonts w:hint="eastAsia" w:ascii="仿宋_GB2312" w:hAnsi="仿宋_GB2312" w:eastAsia="仿宋_GB2312" w:cs="仿宋_GB2312"/>
                <w:sz w:val="21"/>
                <w:szCs w:val="24"/>
                <w:lang w:val="en-US" w:eastAsia="zh-CN"/>
              </w:rPr>
            </w:pPr>
          </w:p>
        </w:tc>
        <w:tc>
          <w:tcPr>
            <w:tcW w:w="436" w:type="pct"/>
            <w:vAlign w:val="center"/>
          </w:tcPr>
          <w:p>
            <w:pPr>
              <w:pageBreakBefore w:val="0"/>
              <w:kinsoku/>
              <w:wordWrap/>
              <w:overflowPunct/>
              <w:topLinePunct w:val="0"/>
              <w:autoSpaceDE/>
              <w:autoSpaceDN/>
              <w:bidi w:val="0"/>
              <w:adjustRightInd/>
              <w:snapToGrid/>
              <w:spacing w:line="312" w:lineRule="auto"/>
              <w:jc w:val="center"/>
              <w:rPr>
                <w:rFonts w:hint="eastAsia" w:ascii="仿宋_GB2312" w:hAnsi="仿宋_GB2312" w:eastAsia="仿宋_GB2312" w:cs="仿宋_GB2312"/>
                <w:sz w:val="21"/>
                <w:szCs w:val="24"/>
                <w:lang w:val="en-US" w:eastAsia="zh-CN"/>
              </w:rPr>
            </w:pPr>
            <w:r>
              <w:rPr>
                <w:rFonts w:hint="eastAsia" w:ascii="仿宋_GB2312" w:hAnsi="仿宋_GB2312" w:eastAsia="仿宋_GB2312" w:cs="仿宋_GB2312"/>
                <w:color w:val="auto"/>
                <w:sz w:val="21"/>
                <w:szCs w:val="24"/>
                <w:vertAlign w:val="baseline"/>
              </w:rPr>
              <w:t>网络管理</w:t>
            </w:r>
          </w:p>
        </w:tc>
        <w:tc>
          <w:tcPr>
            <w:tcW w:w="3315" w:type="pct"/>
            <w:vMerge w:val="continue"/>
            <w:vAlign w:val="center"/>
          </w:tcPr>
          <w:p>
            <w:pPr>
              <w:pageBreakBefore w:val="0"/>
              <w:kinsoku/>
              <w:wordWrap/>
              <w:overflowPunct/>
              <w:topLinePunct w:val="0"/>
              <w:autoSpaceDE/>
              <w:autoSpaceDN/>
              <w:bidi w:val="0"/>
              <w:adjustRightInd/>
              <w:snapToGrid/>
              <w:spacing w:line="312" w:lineRule="auto"/>
              <w:jc w:val="center"/>
              <w:textAlignment w:val="center"/>
              <w:rPr>
                <w:rFonts w:hint="eastAsia" w:ascii="仿宋_GB2312" w:hAnsi="仿宋_GB2312" w:eastAsia="仿宋_GB2312" w:cs="仿宋_GB2312"/>
                <w:sz w:val="21"/>
                <w:szCs w:val="24"/>
                <w:lang w:val="en-US" w:eastAsia="zh-CN"/>
              </w:rPr>
            </w:pPr>
          </w:p>
        </w:tc>
        <w:tc>
          <w:tcPr>
            <w:tcW w:w="550" w:type="pct"/>
            <w:vMerge w:val="continue"/>
            <w:vAlign w:val="center"/>
          </w:tcPr>
          <w:p>
            <w:pPr>
              <w:pageBreakBefore w:val="0"/>
              <w:kinsoku/>
              <w:wordWrap/>
              <w:overflowPunct/>
              <w:topLinePunct w:val="0"/>
              <w:autoSpaceDE/>
              <w:autoSpaceDN/>
              <w:bidi w:val="0"/>
              <w:adjustRightInd/>
              <w:snapToGrid/>
              <w:spacing w:line="312" w:lineRule="auto"/>
              <w:jc w:val="center"/>
              <w:textAlignment w:val="center"/>
              <w:rPr>
                <w:rFonts w:hint="eastAsia" w:ascii="仿宋_GB2312" w:hAnsi="仿宋_GB2312" w:eastAsia="仿宋_GB2312" w:cs="仿宋_GB2312"/>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28" w:type="pct"/>
            <w:vAlign w:val="center"/>
          </w:tcPr>
          <w:p>
            <w:pPr>
              <w:pageBreakBefore w:val="0"/>
              <w:numPr>
                <w:ilvl w:val="0"/>
                <w:numId w:val="2"/>
              </w:numPr>
              <w:kinsoku/>
              <w:wordWrap/>
              <w:overflowPunct/>
              <w:topLinePunct w:val="0"/>
              <w:autoSpaceDE/>
              <w:autoSpaceDN/>
              <w:bidi w:val="0"/>
              <w:adjustRightInd/>
              <w:snapToGrid/>
              <w:spacing w:line="312" w:lineRule="auto"/>
              <w:ind w:left="-420" w:leftChars="0" w:firstLine="420" w:firstLineChars="0"/>
              <w:jc w:val="center"/>
              <w:rPr>
                <w:rFonts w:hint="eastAsia" w:ascii="仿宋_GB2312" w:hAnsi="仿宋_GB2312" w:eastAsia="仿宋_GB2312" w:cs="仿宋_GB2312"/>
                <w:sz w:val="21"/>
                <w:szCs w:val="24"/>
                <w:lang w:val="en-US" w:eastAsia="zh-CN"/>
              </w:rPr>
            </w:pPr>
          </w:p>
        </w:tc>
        <w:tc>
          <w:tcPr>
            <w:tcW w:w="468" w:type="pct"/>
            <w:vMerge w:val="restart"/>
            <w:vAlign w:val="center"/>
          </w:tcPr>
          <w:p>
            <w:pPr>
              <w:keepNext w:val="0"/>
              <w:keepLines w:val="0"/>
              <w:pageBreakBefore w:val="0"/>
              <w:widowControl w:val="0"/>
              <w:kinsoku/>
              <w:wordWrap/>
              <w:overflowPunct/>
              <w:topLinePunct w:val="0"/>
              <w:autoSpaceDE/>
              <w:autoSpaceDN/>
              <w:bidi w:val="0"/>
              <w:adjustRightInd/>
              <w:snapToGrid/>
              <w:spacing w:before="158" w:line="312" w:lineRule="auto"/>
              <w:ind w:right="0" w:rightChars="0"/>
              <w:jc w:val="center"/>
              <w:textAlignment w:val="auto"/>
              <w:rPr>
                <w:rFonts w:hint="eastAsia" w:ascii="仿宋_GB2312" w:hAnsi="仿宋_GB2312" w:eastAsia="仿宋_GB2312" w:cs="仿宋_GB2312"/>
                <w:sz w:val="21"/>
                <w:szCs w:val="24"/>
              </w:rPr>
            </w:pPr>
            <w:r>
              <w:rPr>
                <w:rFonts w:hint="eastAsia" w:ascii="仿宋_GB2312" w:hAnsi="仿宋_GB2312" w:eastAsia="仿宋_GB2312" w:cs="仿宋_GB2312"/>
                <w:color w:val="auto"/>
                <w:sz w:val="21"/>
                <w:szCs w:val="21"/>
                <w:highlight w:val="none"/>
              </w:rPr>
              <w:t>安全</w:t>
            </w:r>
            <w:r>
              <w:rPr>
                <w:rFonts w:hint="eastAsia" w:ascii="仿宋_GB2312" w:hAnsi="仿宋_GB2312" w:eastAsia="仿宋_GB2312" w:cs="仿宋_GB2312"/>
                <w:color w:val="auto"/>
                <w:sz w:val="21"/>
                <w:szCs w:val="21"/>
                <w:highlight w:val="none"/>
                <w:lang w:val="en-US" w:eastAsia="zh-CN"/>
              </w:rPr>
              <w:t>建设整改服务</w:t>
            </w:r>
          </w:p>
        </w:tc>
        <w:tc>
          <w:tcPr>
            <w:tcW w:w="436" w:type="pct"/>
            <w:vAlign w:val="center"/>
          </w:tcPr>
          <w:p>
            <w:pPr>
              <w:pageBreakBefore w:val="0"/>
              <w:kinsoku/>
              <w:wordWrap/>
              <w:overflowPunct/>
              <w:topLinePunct w:val="0"/>
              <w:autoSpaceDE/>
              <w:autoSpaceDN/>
              <w:bidi w:val="0"/>
              <w:adjustRightInd/>
              <w:snapToGrid/>
              <w:spacing w:line="312" w:lineRule="auto"/>
              <w:jc w:val="center"/>
              <w:rPr>
                <w:rFonts w:hint="eastAsia" w:ascii="仿宋_GB2312" w:hAnsi="仿宋_GB2312" w:eastAsia="仿宋_GB2312" w:cs="仿宋_GB2312"/>
                <w:color w:val="auto"/>
                <w:sz w:val="21"/>
                <w:szCs w:val="24"/>
                <w:vertAlign w:val="baseline"/>
              </w:rPr>
            </w:pPr>
            <w:r>
              <w:rPr>
                <w:rFonts w:hint="eastAsia" w:ascii="仿宋_GB2312" w:hAnsi="仿宋_GB2312" w:eastAsia="仿宋_GB2312" w:cs="仿宋_GB2312"/>
                <w:i w:val="0"/>
                <w:iCs w:val="0"/>
                <w:color w:val="auto"/>
                <w:kern w:val="0"/>
                <w:sz w:val="21"/>
                <w:szCs w:val="21"/>
                <w:highlight w:val="none"/>
                <w:u w:val="none"/>
                <w:lang w:val="en-US" w:eastAsia="zh-CN" w:bidi="ar"/>
              </w:rPr>
              <w:t>漏洞验证修复</w:t>
            </w:r>
          </w:p>
        </w:tc>
        <w:tc>
          <w:tcPr>
            <w:tcW w:w="3315" w:type="pct"/>
            <w:vAlign w:val="top"/>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jc w:val="left"/>
              <w:textAlignment w:val="center"/>
              <w:rPr>
                <w:rFonts w:hint="eastAsia" w:ascii="仿宋_GB2312" w:hAnsi="仿宋_GB2312" w:eastAsia="仿宋_GB2312" w:cs="仿宋_GB2312"/>
                <w:sz w:val="21"/>
                <w:szCs w:val="24"/>
              </w:rPr>
            </w:pPr>
            <w:r>
              <w:rPr>
                <w:rFonts w:hint="eastAsia" w:ascii="仿宋_GB2312" w:hAnsi="仿宋_GB2312" w:eastAsia="仿宋_GB2312" w:cs="仿宋_GB2312"/>
                <w:color w:val="auto"/>
                <w:kern w:val="0"/>
                <w:sz w:val="21"/>
                <w:szCs w:val="21"/>
                <w:highlight w:val="none"/>
                <w:lang w:bidi="ar"/>
              </w:rPr>
              <w:t>利用合法合规的安全扫描工具对现有网络系统服务器、网络设备、数据库、应用软件进行漏洞探测，对扫描结果进行人工验证，评估安全漏洞的危害程度及被威胁利用难易程度</w:t>
            </w:r>
            <w:r>
              <w:rPr>
                <w:rFonts w:hint="eastAsia" w:ascii="仿宋_GB2312" w:hAnsi="仿宋_GB2312" w:eastAsia="仿宋_GB2312" w:cs="仿宋_GB2312"/>
                <w:color w:val="auto"/>
                <w:kern w:val="0"/>
                <w:sz w:val="21"/>
                <w:szCs w:val="21"/>
                <w:highlight w:val="none"/>
                <w:lang w:eastAsia="zh-CN" w:bidi="ar"/>
              </w:rPr>
              <w:t>，</w:t>
            </w:r>
            <w:r>
              <w:rPr>
                <w:rFonts w:hint="eastAsia" w:ascii="仿宋_GB2312" w:hAnsi="仿宋_GB2312" w:eastAsia="仿宋_GB2312" w:cs="仿宋_GB2312"/>
                <w:color w:val="auto"/>
                <w:kern w:val="0"/>
                <w:sz w:val="21"/>
                <w:szCs w:val="21"/>
                <w:highlight w:val="none"/>
                <w:lang w:val="en-US" w:eastAsia="zh-CN" w:bidi="ar"/>
              </w:rPr>
              <w:t>根据情况进行验证修复</w:t>
            </w:r>
            <w:r>
              <w:rPr>
                <w:rFonts w:hint="eastAsia" w:ascii="仿宋_GB2312" w:hAnsi="仿宋_GB2312" w:eastAsia="仿宋_GB2312" w:cs="仿宋_GB2312"/>
                <w:color w:val="auto"/>
                <w:kern w:val="0"/>
                <w:sz w:val="21"/>
                <w:szCs w:val="21"/>
                <w:highlight w:val="none"/>
                <w:lang w:eastAsia="zh-CN" w:bidi="ar"/>
              </w:rPr>
              <w:t>，</w:t>
            </w:r>
            <w:r>
              <w:rPr>
                <w:rFonts w:hint="eastAsia" w:ascii="仿宋_GB2312" w:hAnsi="仿宋_GB2312" w:eastAsia="仿宋_GB2312" w:cs="仿宋_GB2312"/>
                <w:color w:val="auto"/>
                <w:kern w:val="0"/>
                <w:sz w:val="21"/>
                <w:szCs w:val="21"/>
                <w:highlight w:val="none"/>
                <w:lang w:bidi="ar"/>
              </w:rPr>
              <w:t>服务成果文档包含但不限于《</w:t>
            </w:r>
            <w:r>
              <w:rPr>
                <w:rFonts w:hint="eastAsia" w:ascii="仿宋_GB2312" w:hAnsi="仿宋_GB2312" w:eastAsia="仿宋_GB2312" w:cs="仿宋_GB2312"/>
                <w:color w:val="auto"/>
                <w:kern w:val="0"/>
                <w:sz w:val="21"/>
                <w:szCs w:val="21"/>
                <w:highlight w:val="none"/>
                <w:lang w:val="en-US" w:eastAsia="zh-CN" w:bidi="ar"/>
              </w:rPr>
              <w:t>验证修复</w:t>
            </w:r>
            <w:r>
              <w:rPr>
                <w:rFonts w:hint="eastAsia" w:ascii="仿宋_GB2312" w:hAnsi="仿宋_GB2312" w:eastAsia="仿宋_GB2312" w:cs="仿宋_GB2312"/>
                <w:color w:val="auto"/>
                <w:kern w:val="0"/>
                <w:sz w:val="21"/>
                <w:szCs w:val="21"/>
                <w:highlight w:val="none"/>
                <w:lang w:bidi="ar"/>
              </w:rPr>
              <w:t>报告》；</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jc w:val="left"/>
              <w:textAlignment w:val="center"/>
              <w:rPr>
                <w:rFonts w:hint="eastAsia" w:ascii="仿宋_GB2312" w:hAnsi="仿宋_GB2312" w:eastAsia="仿宋_GB2312" w:cs="仿宋_GB2312"/>
                <w:sz w:val="21"/>
                <w:szCs w:val="24"/>
                <w:lang w:val="en-US" w:eastAsia="zh-CN"/>
              </w:rPr>
            </w:pPr>
            <w:r>
              <w:rPr>
                <w:rFonts w:hint="eastAsia" w:ascii="仿宋_GB2312" w:hAnsi="仿宋_GB2312" w:eastAsia="仿宋_GB2312" w:cs="仿宋_GB2312"/>
                <w:color w:val="auto"/>
                <w:kern w:val="0"/>
                <w:sz w:val="21"/>
                <w:szCs w:val="21"/>
                <w:highlight w:val="none"/>
                <w:lang w:val="en-US" w:eastAsia="zh-CN" w:bidi="ar"/>
              </w:rPr>
              <w:t>针对评估结果并根据现状情况开展安全配置优化，进行风险规避；针对需要整改的漏洞协助相关系统业务人员开展整改。</w:t>
            </w:r>
          </w:p>
        </w:tc>
        <w:tc>
          <w:tcPr>
            <w:tcW w:w="550" w:type="pct"/>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left"/>
              <w:textAlignment w:val="center"/>
              <w:rPr>
                <w:rFonts w:hint="default"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2次/2年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28" w:type="pct"/>
            <w:vAlign w:val="center"/>
          </w:tcPr>
          <w:p>
            <w:pPr>
              <w:pageBreakBefore w:val="0"/>
              <w:numPr>
                <w:ilvl w:val="0"/>
                <w:numId w:val="2"/>
              </w:numPr>
              <w:kinsoku/>
              <w:wordWrap/>
              <w:overflowPunct/>
              <w:topLinePunct w:val="0"/>
              <w:autoSpaceDE/>
              <w:autoSpaceDN/>
              <w:bidi w:val="0"/>
              <w:adjustRightInd/>
              <w:snapToGrid/>
              <w:spacing w:line="312" w:lineRule="auto"/>
              <w:ind w:left="-420" w:leftChars="0" w:firstLine="420" w:firstLineChars="0"/>
              <w:jc w:val="center"/>
              <w:rPr>
                <w:rFonts w:hint="eastAsia" w:ascii="仿宋_GB2312" w:hAnsi="仿宋_GB2312" w:eastAsia="仿宋_GB2312" w:cs="仿宋_GB2312"/>
                <w:sz w:val="21"/>
                <w:szCs w:val="24"/>
                <w:lang w:val="en-US" w:eastAsia="zh-CN"/>
              </w:rPr>
            </w:pPr>
          </w:p>
        </w:tc>
        <w:tc>
          <w:tcPr>
            <w:tcW w:w="468" w:type="pct"/>
            <w:vMerge w:val="continue"/>
            <w:vAlign w:val="center"/>
          </w:tcPr>
          <w:p>
            <w:pPr>
              <w:keepNext w:val="0"/>
              <w:keepLines w:val="0"/>
              <w:pageBreakBefore w:val="0"/>
              <w:widowControl w:val="0"/>
              <w:kinsoku/>
              <w:wordWrap/>
              <w:overflowPunct/>
              <w:topLinePunct w:val="0"/>
              <w:autoSpaceDE/>
              <w:autoSpaceDN/>
              <w:bidi w:val="0"/>
              <w:adjustRightInd/>
              <w:snapToGrid/>
              <w:spacing w:before="158" w:line="312" w:lineRule="auto"/>
              <w:ind w:right="0" w:rightChars="0"/>
              <w:jc w:val="center"/>
              <w:textAlignment w:val="auto"/>
              <w:rPr>
                <w:rFonts w:hint="eastAsia" w:ascii="仿宋_GB2312" w:hAnsi="仿宋_GB2312" w:eastAsia="仿宋_GB2312" w:cs="仿宋_GB2312"/>
                <w:color w:val="auto"/>
                <w:sz w:val="21"/>
                <w:szCs w:val="21"/>
                <w:highlight w:val="none"/>
              </w:rPr>
            </w:pPr>
          </w:p>
        </w:tc>
        <w:tc>
          <w:tcPr>
            <w:tcW w:w="436" w:type="pct"/>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sz w:val="21"/>
                <w:szCs w:val="21"/>
                <w:highlight w:val="none"/>
                <w:lang w:val="en-US" w:eastAsia="zh-CN"/>
              </w:rPr>
              <w:t>终端防御检测与响应平台</w:t>
            </w:r>
          </w:p>
        </w:tc>
        <w:tc>
          <w:tcPr>
            <w:tcW w:w="3315" w:type="pct"/>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性能参数：最大支持管控</w:t>
            </w:r>
            <w:r>
              <w:rPr>
                <w:rFonts w:hint="eastAsia" w:ascii="仿宋_GB2312" w:hAnsi="仿宋_GB2312" w:eastAsia="仿宋_GB2312" w:cs="仿宋_GB2312"/>
                <w:color w:val="auto"/>
                <w:sz w:val="21"/>
                <w:szCs w:val="21"/>
                <w:highlight w:val="none"/>
                <w:lang w:val="en-US" w:eastAsia="zh-CN"/>
              </w:rPr>
              <w:t>终端安全管理系统软件</w:t>
            </w: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客户端数量：纯内网场景或者2000点以上。</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安全策略模板一体化设置，全网资产盘点与风险可视，自动化日志可视化报表一键导出，管理账号分权分域，总分平台级联控制；管理平台需搭配客户端软件一齐使用，服务期内免费升级，含：终端安全管理系统软件V3.0（产品控制中心）(*1套)；端点安全软件V3.0（服务器全量版）(*10套)；软件升级（服务器端）；软件升级（PC端）。</w:t>
            </w:r>
          </w:p>
        </w:tc>
        <w:tc>
          <w:tcPr>
            <w:tcW w:w="550" w:type="pct"/>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default"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3" w:hRule="atLeast"/>
          <w:jc w:val="center"/>
        </w:trPr>
        <w:tc>
          <w:tcPr>
            <w:tcW w:w="228" w:type="pct"/>
            <w:vAlign w:val="center"/>
          </w:tcPr>
          <w:p>
            <w:pPr>
              <w:pageBreakBefore w:val="0"/>
              <w:numPr>
                <w:ilvl w:val="0"/>
                <w:numId w:val="2"/>
              </w:numPr>
              <w:kinsoku/>
              <w:wordWrap/>
              <w:overflowPunct/>
              <w:topLinePunct w:val="0"/>
              <w:autoSpaceDE/>
              <w:autoSpaceDN/>
              <w:bidi w:val="0"/>
              <w:adjustRightInd/>
              <w:snapToGrid/>
              <w:spacing w:line="312" w:lineRule="auto"/>
              <w:ind w:left="-420" w:leftChars="0" w:firstLine="420" w:firstLineChars="0"/>
              <w:jc w:val="center"/>
              <w:rPr>
                <w:rFonts w:hint="eastAsia" w:ascii="仿宋_GB2312" w:hAnsi="仿宋_GB2312" w:eastAsia="仿宋_GB2312" w:cs="仿宋_GB2312"/>
                <w:sz w:val="21"/>
                <w:szCs w:val="24"/>
                <w:lang w:val="en-US" w:eastAsia="zh-CN"/>
              </w:rPr>
            </w:pPr>
          </w:p>
        </w:tc>
        <w:tc>
          <w:tcPr>
            <w:tcW w:w="468" w:type="pct"/>
            <w:vMerge w:val="continue"/>
            <w:vAlign w:val="center"/>
          </w:tcPr>
          <w:p>
            <w:pPr>
              <w:keepNext w:val="0"/>
              <w:keepLines w:val="0"/>
              <w:pageBreakBefore w:val="0"/>
              <w:widowControl w:val="0"/>
              <w:kinsoku/>
              <w:wordWrap/>
              <w:overflowPunct/>
              <w:topLinePunct w:val="0"/>
              <w:autoSpaceDE/>
              <w:autoSpaceDN/>
              <w:bidi w:val="0"/>
              <w:adjustRightInd/>
              <w:snapToGrid/>
              <w:spacing w:before="158" w:line="312" w:lineRule="auto"/>
              <w:ind w:right="0" w:rightChars="0"/>
              <w:jc w:val="center"/>
              <w:textAlignment w:val="auto"/>
              <w:rPr>
                <w:rFonts w:hint="eastAsia" w:ascii="仿宋_GB2312" w:hAnsi="仿宋_GB2312" w:eastAsia="仿宋_GB2312" w:cs="仿宋_GB2312"/>
                <w:color w:val="auto"/>
                <w:sz w:val="21"/>
                <w:szCs w:val="21"/>
                <w:highlight w:val="none"/>
              </w:rPr>
            </w:pPr>
          </w:p>
        </w:tc>
        <w:tc>
          <w:tcPr>
            <w:tcW w:w="436" w:type="pct"/>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安全服务互联网出口加固服务</w:t>
            </w:r>
          </w:p>
        </w:tc>
        <w:tc>
          <w:tcPr>
            <w:tcW w:w="3315" w:type="pct"/>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服务组件性能参数：网络层吞吐量：4G，应用层吞吐量：2G，防病毒吞吐量：600M，IPS吞吐量：600M，全威胁吞吐量：450M，并发连接数：200万，HTTP新建连接数：6万，SSL VPN推荐用户数：20，SSL VPN最大用户数：60，SSL VPN最大理论加密流量：160M，IPSec VPN 最大接入数：300，IPSec  VPN吞吐量：270M。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服务组件参数：规格：1U，内存大小：4G，硬盘容量：64G SSD，电源：单电源，接口：8千兆电口+2千兆光口SFP。</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0" w:leftChars="0" w:firstLine="0" w:firstLineChars="0"/>
              <w:jc w:val="both"/>
              <w:textAlignment w:val="center"/>
              <w:rPr>
                <w:rFonts w:hint="eastAsia" w:ascii="仿宋_GB2312" w:hAnsi="仿宋_GB2312" w:eastAsia="仿宋_GB2312" w:cs="仿宋_GB2312"/>
                <w:sz w:val="20"/>
                <w:szCs w:val="22"/>
                <w:lang w:val="en-US" w:eastAsia="zh-CN"/>
              </w:rPr>
            </w:pPr>
            <w:r>
              <w:rPr>
                <w:rFonts w:hint="eastAsia" w:ascii="仿宋_GB2312" w:hAnsi="仿宋_GB2312" w:eastAsia="仿宋_GB2312" w:cs="仿宋_GB2312"/>
                <w:lang w:val="en-US" w:eastAsia="zh-CN"/>
              </w:rPr>
              <w:t>含：防火墙软件基础级(*1套)；防火墙软件增强级模块(*1套)；云智订阅软件（AF8.0.7及以上版本适用）(*1套)；产品质保(*2年)；软件升</w:t>
            </w:r>
            <w:r>
              <w:rPr>
                <w:rFonts w:hint="eastAsia" w:ascii="仿宋_GB2312" w:hAnsi="仿宋_GB2312" w:eastAsia="仿宋_GB2312" w:cs="仿宋_GB2312"/>
                <w:sz w:val="20"/>
                <w:szCs w:val="22"/>
                <w:lang w:val="en-US" w:eastAsia="zh-CN"/>
              </w:rPr>
              <w:t>级(*2年)；</w:t>
            </w:r>
          </w:p>
          <w:p>
            <w:pPr>
              <w:pStyle w:val="2"/>
              <w:rPr>
                <w:rFonts w:hint="default"/>
                <w:lang w:val="en-US" w:eastAsia="zh-CN"/>
              </w:rPr>
            </w:pPr>
            <w:r>
              <w:rPr>
                <w:rFonts w:hint="eastAsia" w:ascii="仿宋_GB2312" w:hAnsi="仿宋_GB2312" w:eastAsia="仿宋_GB2312" w:cs="仿宋_GB2312"/>
                <w:kern w:val="2"/>
                <w:sz w:val="21"/>
                <w:szCs w:val="24"/>
                <w:lang w:val="en-US" w:eastAsia="zh-CN" w:bidi="ar-SA"/>
              </w:rPr>
              <w:t>硬件设备全部由中标商提供。</w:t>
            </w:r>
          </w:p>
        </w:tc>
        <w:tc>
          <w:tcPr>
            <w:tcW w:w="550" w:type="pct"/>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0" w:leftChars="0" w:firstLine="0" w:firstLineChars="0"/>
              <w:jc w:val="both"/>
              <w:textAlignment w:val="center"/>
              <w:rPr>
                <w:rFonts w:hint="default"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2年</w:t>
            </w:r>
          </w:p>
        </w:tc>
      </w:tr>
    </w:tbl>
    <w:p>
      <w:pPr>
        <w:bidi w:val="0"/>
        <w:jc w:val="left"/>
        <w:rPr>
          <w:rFonts w:hint="default" w:eastAsia="宋体" w:asciiTheme="minorAscii" w:hAnsiTheme="minorAscii" w:cstheme="minorBidi"/>
          <w:kern w:val="2"/>
          <w:sz w:val="24"/>
          <w:szCs w:val="24"/>
          <w:lang w:val="en-US" w:eastAsia="zh-CN" w:bidi="ar-SA"/>
        </w:rPr>
      </w:pPr>
    </w:p>
    <w:p>
      <w:pPr>
        <w:pStyle w:val="2"/>
        <w:ind w:left="0" w:leftChars="0" w:firstLine="0" w:firstLineChars="0"/>
        <w:rPr>
          <w:rFonts w:hint="default" w:eastAsia="宋体" w:asciiTheme="minorAscii" w:hAnsiTheme="minorAscii" w:cstheme="minorBidi"/>
          <w:kern w:val="2"/>
          <w:sz w:val="24"/>
          <w:szCs w:val="24"/>
          <w:lang w:val="en-US" w:eastAsia="zh-CN" w:bidi="ar-SA"/>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312" w:lineRule="auto"/>
        <w:ind w:leftChars="0"/>
        <w:textAlignment w:val="auto"/>
        <w:rPr>
          <w:rFonts w:hint="default"/>
          <w:lang w:val="en-US" w:eastAsia="zh-CN"/>
        </w:rPr>
      </w:pPr>
      <w:bookmarkStart w:id="1" w:name="_Toc6114"/>
      <w:r>
        <w:rPr>
          <w:rFonts w:hint="eastAsia"/>
          <w:lang w:val="en-US" w:eastAsia="zh-CN"/>
        </w:rPr>
        <w:t>二、网络信息化安全服务清单</w:t>
      </w:r>
      <w:bookmarkEnd w:id="1"/>
    </w:p>
    <w:tbl>
      <w:tblPr>
        <w:tblStyle w:val="12"/>
        <w:tblW w:w="482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02"/>
        <w:gridCol w:w="713"/>
        <w:gridCol w:w="713"/>
        <w:gridCol w:w="549"/>
        <w:gridCol w:w="5106"/>
        <w:gridCol w:w="1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392" w:type="pct"/>
            <w:tcBorders>
              <w:tl2br w:val="nil"/>
              <w:tr2bl w:val="nil"/>
            </w:tcBorders>
            <w:shd w:val="clear" w:color="auto" w:fill="auto"/>
            <w:vAlign w:val="center"/>
          </w:tcPr>
          <w:p>
            <w:pPr>
              <w:pStyle w:val="5"/>
              <w:pageBreakBefore w:val="0"/>
              <w:numPr>
                <w:ilvl w:val="3"/>
                <w:numId w:val="0"/>
              </w:numPr>
              <w:kinsoku/>
              <w:wordWrap/>
              <w:overflowPunct/>
              <w:topLinePunct w:val="0"/>
              <w:autoSpaceDE/>
              <w:autoSpaceDN/>
              <w:bidi w:val="0"/>
              <w:spacing w:line="312" w:lineRule="auto"/>
              <w:ind w:leftChars="0"/>
              <w:jc w:val="center"/>
              <w:rPr>
                <w:rFonts w:hint="eastAsia" w:ascii="仿宋_GB2312" w:hAnsi="仿宋_GB2312" w:eastAsia="仿宋_GB2312" w:cs="仿宋_GB2312"/>
                <w:b/>
                <w:bCs/>
                <w:i w:val="0"/>
                <w:iCs w:val="0"/>
                <w:color w:val="auto"/>
                <w:sz w:val="21"/>
                <w:szCs w:val="21"/>
                <w:highlight w:val="none"/>
                <w:u w:val="none"/>
              </w:rPr>
            </w:pPr>
            <w:bookmarkStart w:id="2" w:name="OLE_LINK1"/>
            <w:r>
              <w:rPr>
                <w:rFonts w:hint="eastAsia" w:ascii="仿宋_GB2312" w:hAnsi="仿宋_GB2312" w:eastAsia="仿宋_GB2312" w:cs="仿宋_GB2312"/>
                <w:b/>
                <w:bCs/>
                <w:i w:val="0"/>
                <w:iCs w:val="0"/>
                <w:color w:val="auto"/>
                <w:kern w:val="0"/>
                <w:sz w:val="21"/>
                <w:szCs w:val="21"/>
                <w:highlight w:val="none"/>
                <w:u w:val="none"/>
                <w:lang w:val="en-US" w:eastAsia="zh-CN" w:bidi="ar"/>
              </w:rPr>
              <w:t>序号</w:t>
            </w:r>
          </w:p>
        </w:tc>
        <w:tc>
          <w:tcPr>
            <w:tcW w:w="39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b/>
                <w:bCs/>
                <w:i w:val="0"/>
                <w:iCs w:val="0"/>
                <w:color w:val="auto"/>
                <w:kern w:val="0"/>
                <w:sz w:val="21"/>
                <w:szCs w:val="21"/>
                <w:highlight w:val="none"/>
                <w:u w:val="none"/>
                <w:lang w:val="en-US" w:eastAsia="zh-CN" w:bidi="ar"/>
              </w:rPr>
              <w:t>服务项目</w:t>
            </w:r>
          </w:p>
        </w:tc>
        <w:tc>
          <w:tcPr>
            <w:tcW w:w="704"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b/>
                <w:bCs/>
                <w:i w:val="0"/>
                <w:iCs w:val="0"/>
                <w:color w:val="auto"/>
                <w:kern w:val="0"/>
                <w:sz w:val="21"/>
                <w:szCs w:val="21"/>
                <w:highlight w:val="none"/>
                <w:u w:val="none"/>
                <w:lang w:val="en-US" w:eastAsia="zh-CN" w:bidi="ar"/>
              </w:rPr>
              <w:t>服务内容</w:t>
            </w:r>
          </w:p>
        </w:tc>
        <w:tc>
          <w:tcPr>
            <w:tcW w:w="285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服务要求</w:t>
            </w:r>
          </w:p>
        </w:tc>
        <w:tc>
          <w:tcPr>
            <w:tcW w:w="65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仿宋_GB2312" w:hAnsi="仿宋_GB2312" w:eastAsia="仿宋_GB2312" w:cs="仿宋_GB2312"/>
                <w:b/>
                <w:bCs/>
                <w:i w:val="0"/>
                <w:iCs w:val="0"/>
                <w:color w:val="auto"/>
                <w:sz w:val="21"/>
                <w:szCs w:val="21"/>
                <w:highlight w:val="none"/>
                <w:u w:val="none"/>
                <w:lang w:val="en-US" w:eastAsia="zh-CN"/>
              </w:rPr>
            </w:pPr>
            <w:r>
              <w:rPr>
                <w:rFonts w:hint="eastAsia" w:ascii="仿宋_GB2312" w:hAnsi="仿宋_GB2312" w:eastAsia="仿宋_GB2312" w:cs="仿宋_GB2312"/>
                <w:b/>
                <w:bCs/>
                <w:i w:val="0"/>
                <w:iCs w:val="0"/>
                <w:color w:val="auto"/>
                <w:sz w:val="21"/>
                <w:szCs w:val="21"/>
                <w:highlight w:val="none"/>
                <w:u w:val="none"/>
                <w:lang w:val="en-US"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392" w:type="pct"/>
            <w:vMerge w:val="restart"/>
            <w:tcBorders>
              <w:tl2br w:val="nil"/>
              <w:tr2bl w:val="nil"/>
            </w:tcBorders>
            <w:shd w:val="clear" w:color="auto" w:fill="auto"/>
            <w:vAlign w:val="top"/>
          </w:tcPr>
          <w:p>
            <w:pPr>
              <w:keepNext w:val="0"/>
              <w:keepLines w:val="0"/>
              <w:pageBreakBefore w:val="0"/>
              <w:widowControl/>
              <w:numPr>
                <w:ilvl w:val="0"/>
                <w:numId w:val="4"/>
              </w:numPr>
              <w:suppressLineNumbers w:val="0"/>
              <w:tabs>
                <w:tab w:val="left" w:pos="630"/>
              </w:tabs>
              <w:kinsoku/>
              <w:wordWrap/>
              <w:overflowPunct/>
              <w:topLinePunct w:val="0"/>
              <w:autoSpaceDE/>
              <w:autoSpaceDN/>
              <w:bidi w:val="0"/>
              <w:adjustRightInd/>
              <w:snapToGrid/>
              <w:spacing w:line="312" w:lineRule="auto"/>
              <w:ind w:left="425" w:leftChars="0" w:right="357" w:rightChars="170" w:hanging="425" w:firstLineChars="0"/>
              <w:jc w:val="both"/>
              <w:textAlignment w:val="center"/>
              <w:rPr>
                <w:rFonts w:hint="eastAsia" w:ascii="仿宋_GB2312" w:hAnsi="仿宋_GB2312" w:eastAsia="仿宋_GB2312" w:cs="仿宋_GB2312"/>
                <w:i w:val="0"/>
                <w:iCs w:val="0"/>
                <w:color w:val="auto"/>
                <w:kern w:val="2"/>
                <w:sz w:val="21"/>
                <w:szCs w:val="21"/>
                <w:highlight w:val="none"/>
                <w:u w:val="none"/>
                <w:lang w:val="en-US" w:eastAsia="zh-CN" w:bidi="ar-SA"/>
              </w:rPr>
            </w:pPr>
          </w:p>
        </w:tc>
        <w:tc>
          <w:tcPr>
            <w:tcW w:w="398" w:type="pct"/>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网络信息化服务</w:t>
            </w:r>
          </w:p>
        </w:tc>
        <w:tc>
          <w:tcPr>
            <w:tcW w:w="398" w:type="pct"/>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color w:val="auto"/>
                <w:sz w:val="21"/>
                <w:szCs w:val="21"/>
                <w:highlight w:val="none"/>
              </w:rPr>
              <w:t>应急演练</w:t>
            </w:r>
            <w:r>
              <w:rPr>
                <w:rFonts w:hint="eastAsia" w:ascii="仿宋_GB2312" w:hAnsi="仿宋_GB2312" w:eastAsia="仿宋_GB2312" w:cs="仿宋_GB2312"/>
                <w:color w:val="auto"/>
                <w:sz w:val="21"/>
                <w:szCs w:val="21"/>
                <w:highlight w:val="none"/>
                <w:lang w:val="en-US" w:eastAsia="zh-CN"/>
              </w:rPr>
              <w:t>服务</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i w:val="0"/>
                <w:iCs w:val="0"/>
                <w:color w:val="auto"/>
                <w:kern w:val="2"/>
                <w:sz w:val="21"/>
                <w:szCs w:val="21"/>
                <w:highlight w:val="none"/>
                <w:u w:val="none"/>
                <w:lang w:val="en-US" w:eastAsia="zh-CN" w:bidi="ar-SA"/>
              </w:rPr>
            </w:pPr>
          </w:p>
          <w:p>
            <w:pPr>
              <w:keepNext w:val="0"/>
              <w:keepLines w:val="0"/>
              <w:pageBreakBefore w:val="0"/>
              <w:kinsoku/>
              <w:wordWrap/>
              <w:overflowPunct/>
              <w:topLinePunct w:val="0"/>
              <w:autoSpaceDE/>
              <w:autoSpaceDN/>
              <w:bidi w:val="0"/>
              <w:adjustRightInd/>
              <w:snapToGrid/>
              <w:spacing w:line="312" w:lineRule="auto"/>
              <w:ind w:left="-2" w:leftChars="-1"/>
              <w:jc w:val="both"/>
              <w:rPr>
                <w:rFonts w:hint="eastAsia" w:ascii="仿宋_GB2312" w:hAnsi="仿宋_GB2312" w:eastAsia="仿宋_GB2312" w:cs="仿宋_GB2312"/>
                <w:color w:val="auto"/>
                <w:kern w:val="2"/>
                <w:sz w:val="21"/>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sz w:val="21"/>
                <w:szCs w:val="21"/>
                <w:lang w:val="en-US" w:eastAsia="zh-CN"/>
              </w:rPr>
            </w:pPr>
          </w:p>
        </w:tc>
        <w:tc>
          <w:tcPr>
            <w:tcW w:w="306"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红方检测服务</w:t>
            </w:r>
          </w:p>
        </w:tc>
        <w:tc>
          <w:tcPr>
            <w:tcW w:w="2851"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通过专业渗透工程师组成红方【红队检测】，针对目标系统、软件、硬件和设备同时执行的多混合、基于对抗性的模拟攻击，以此来发现系统、技术和基础架构中存在的隐患。用尽可能接近真实环境攻击的方法来模拟黑客APT攻击，发现可能被黑客利用的安全漏洞，以此对目标网络安全状况进行评估，并出具成果报告：《铜仁幼儿师范高等专科学校渗透评估报告》、《铜仁幼儿师范高等专科学校渗透评估复测报告》。其中红方【红队检测】应具备信息安全风险评估服务能力，获得CCRC信息安全风险评估认证证书、工程师具备国家注册渗透测试专家认证、国家注册渗透测试工程师认证。</w:t>
            </w:r>
          </w:p>
        </w:tc>
        <w:tc>
          <w:tcPr>
            <w:tcW w:w="653" w:type="pct"/>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12" w:lineRule="auto"/>
              <w:jc w:val="both"/>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2次/2年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26" w:hRule="atLeast"/>
          <w:jc w:val="center"/>
        </w:trPr>
        <w:tc>
          <w:tcPr>
            <w:tcW w:w="392" w:type="pct"/>
            <w:vMerge w:val="continue"/>
            <w:tcBorders>
              <w:tl2br w:val="nil"/>
              <w:tr2bl w:val="nil"/>
            </w:tcBorders>
            <w:shd w:val="clear" w:color="auto" w:fill="auto"/>
            <w:vAlign w:val="top"/>
          </w:tcPr>
          <w:p>
            <w:pPr>
              <w:keepNext w:val="0"/>
              <w:keepLines w:val="0"/>
              <w:pageBreakBefore w:val="0"/>
              <w:widowControl/>
              <w:suppressLineNumbers w:val="0"/>
              <w:tabs>
                <w:tab w:val="left" w:pos="630"/>
              </w:tabs>
              <w:kinsoku/>
              <w:wordWrap/>
              <w:overflowPunct/>
              <w:topLinePunct w:val="0"/>
              <w:autoSpaceDE/>
              <w:autoSpaceDN/>
              <w:bidi w:val="0"/>
              <w:adjustRightInd/>
              <w:snapToGrid/>
              <w:spacing w:line="312" w:lineRule="auto"/>
              <w:ind w:left="425" w:leftChars="0" w:right="357" w:rightChars="170" w:hanging="425" w:firstLineChars="0"/>
              <w:jc w:val="both"/>
              <w:textAlignment w:val="center"/>
              <w:rPr>
                <w:rFonts w:hint="eastAsia" w:ascii="仿宋_GB2312" w:hAnsi="仿宋_GB2312" w:eastAsia="仿宋_GB2312" w:cs="仿宋_GB2312"/>
                <w:i w:val="0"/>
                <w:iCs w:val="0"/>
                <w:color w:val="auto"/>
                <w:kern w:val="2"/>
                <w:sz w:val="21"/>
                <w:szCs w:val="21"/>
                <w:highlight w:val="none"/>
                <w:u w:val="none"/>
                <w:lang w:val="en-US" w:eastAsia="zh-CN" w:bidi="ar-SA"/>
              </w:rPr>
            </w:pPr>
          </w:p>
        </w:tc>
        <w:tc>
          <w:tcPr>
            <w:tcW w:w="398" w:type="pct"/>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color w:val="auto"/>
                <w:sz w:val="21"/>
                <w:szCs w:val="21"/>
                <w:highlight w:val="none"/>
                <w:lang w:val="en-US" w:eastAsia="zh-CN"/>
              </w:rPr>
            </w:pPr>
          </w:p>
        </w:tc>
        <w:tc>
          <w:tcPr>
            <w:tcW w:w="398" w:type="pct"/>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sz w:val="21"/>
                <w:szCs w:val="21"/>
                <w:lang w:val="en-US" w:eastAsia="zh-CN"/>
              </w:rPr>
            </w:pPr>
          </w:p>
        </w:tc>
        <w:tc>
          <w:tcPr>
            <w:tcW w:w="306"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蓝队应急服务</w:t>
            </w:r>
          </w:p>
        </w:tc>
        <w:tc>
          <w:tcPr>
            <w:tcW w:w="2851" w:type="pct"/>
            <w:tcBorders>
              <w:tl2br w:val="nil"/>
              <w:tr2bl w:val="nil"/>
            </w:tcBorders>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spacing w:line="312" w:lineRule="auto"/>
              <w:ind w:left="0" w:leftChars="0" w:firstLine="0" w:firstLineChars="0"/>
              <w:jc w:val="both"/>
              <w:textAlignment w:val="center"/>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通过资深的网络安全技术人员组成蓝方（应急方），提供应急支撑服务（第三方应急支撑服务）。在应急演练过程中，对学校提供重要时期安全保障服务。在重要时期为关键信息系统提供：组织架构设计、积极防御、实时检测、响应处置、攻击预测等安全服务，以提高学校的网络安全保障能力，保障应急演练活动的顺利进行，并出具成果报告：《铜仁幼儿师范高等专科学校应急支撑报告》，对红方渗透发现的漏洞和弱点进行修复，出具相应的整改报告包含但不限于整改方式与结果。蓝方【应急方】应具备信息安全应急处理服务能力，获得CCRC信息安全应急处理认证证书，工程师具备国家注册渗透测试专家认证、国家注册渗透测试工程师认证。</w:t>
            </w:r>
          </w:p>
        </w:tc>
        <w:tc>
          <w:tcPr>
            <w:tcW w:w="653" w:type="pct"/>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12" w:lineRule="auto"/>
              <w:jc w:val="both"/>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2次/2年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86" w:hRule="atLeast"/>
          <w:jc w:val="center"/>
        </w:trPr>
        <w:tc>
          <w:tcPr>
            <w:tcW w:w="392" w:type="pct"/>
            <w:tcBorders>
              <w:tl2br w:val="nil"/>
              <w:tr2bl w:val="nil"/>
            </w:tcBorders>
            <w:shd w:val="clear" w:color="auto" w:fill="auto"/>
            <w:vAlign w:val="top"/>
          </w:tcPr>
          <w:p>
            <w:pPr>
              <w:keepNext w:val="0"/>
              <w:keepLines w:val="0"/>
              <w:pageBreakBefore w:val="0"/>
              <w:widowControl/>
              <w:numPr>
                <w:ilvl w:val="0"/>
                <w:numId w:val="4"/>
              </w:numPr>
              <w:suppressLineNumbers w:val="0"/>
              <w:tabs>
                <w:tab w:val="left" w:pos="630"/>
              </w:tabs>
              <w:kinsoku/>
              <w:wordWrap/>
              <w:overflowPunct/>
              <w:topLinePunct w:val="0"/>
              <w:autoSpaceDE/>
              <w:autoSpaceDN/>
              <w:bidi w:val="0"/>
              <w:adjustRightInd/>
              <w:snapToGrid/>
              <w:spacing w:line="312" w:lineRule="auto"/>
              <w:ind w:left="425" w:leftChars="0" w:right="357" w:rightChars="170" w:hanging="425" w:firstLineChars="0"/>
              <w:jc w:val="both"/>
              <w:textAlignment w:val="center"/>
              <w:rPr>
                <w:rFonts w:hint="eastAsia" w:ascii="仿宋_GB2312" w:hAnsi="仿宋_GB2312" w:eastAsia="仿宋_GB2312" w:cs="仿宋_GB2312"/>
                <w:i w:val="0"/>
                <w:iCs w:val="0"/>
                <w:color w:val="auto"/>
                <w:kern w:val="2"/>
                <w:sz w:val="21"/>
                <w:szCs w:val="21"/>
                <w:highlight w:val="none"/>
                <w:u w:val="none"/>
                <w:lang w:val="en-US" w:eastAsia="zh-CN" w:bidi="ar-SA"/>
              </w:rPr>
            </w:pPr>
          </w:p>
        </w:tc>
        <w:tc>
          <w:tcPr>
            <w:tcW w:w="398" w:type="pct"/>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color w:val="auto"/>
                <w:sz w:val="21"/>
                <w:szCs w:val="21"/>
                <w:highlight w:val="none"/>
                <w:lang w:val="en-US" w:eastAsia="zh-CN"/>
              </w:rPr>
            </w:pPr>
          </w:p>
        </w:tc>
        <w:tc>
          <w:tcPr>
            <w:tcW w:w="704" w:type="pct"/>
            <w:gridSpan w:val="2"/>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渗透测试服务</w:t>
            </w:r>
          </w:p>
        </w:tc>
        <w:tc>
          <w:tcPr>
            <w:tcW w:w="2851" w:type="pct"/>
            <w:tcBorders>
              <w:tl2br w:val="nil"/>
              <w:tr2bl w:val="nil"/>
            </w:tcBorders>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0" w:leftChars="0" w:firstLine="0" w:firstLineChars="0"/>
              <w:jc w:val="both"/>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渗透测试：模拟黑客的真实攻击方法对系统和网络进行非破坏性质的攻击性测试。对重要的业务系统，进行模拟黑客的安全渗透测试，对系统中存在的安全漏洞进行准确查找，同时利用渗透性技术检测，发现应用系统未知的漏洞和安全隐患（包含但不限于：弱口令、本地权限提升、远程溢出、数据库查询等），并出具渗透测试报告及修复整改建议。同时在学校方修复漏洞后，对漏洞修复情况进行回归性测试。相对其他服务而言，渗透测试是一种对测试人员技术能力要求较高的纯技术服务，要求渗透测试人员有丰富的渗透经验及新颖的渗透思路。服务商安全团队有国家注册渗透测试专家，国家注册渗透测试工程师，高级网络安全管理师，拥有CISP、CCSC相应持证人员。服务过高校、医疗、政府、企业、能源等多个行业，有相当丰富的渗透测试经验，能从专业的角度执行标准化的测试工作，对渗透测试报告进行专业的解读，并提供相应的修复建议，协助学校有效提升网络安全能力。</w:t>
            </w:r>
          </w:p>
        </w:tc>
        <w:tc>
          <w:tcPr>
            <w:tcW w:w="653"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kern w:val="2"/>
                <w:sz w:val="21"/>
                <w:szCs w:val="21"/>
                <w:lang w:val="en-US" w:eastAsia="zh-CN" w:bidi="ar-SA"/>
              </w:rPr>
              <w:t>4次/2年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86" w:hRule="atLeast"/>
          <w:jc w:val="center"/>
        </w:trPr>
        <w:tc>
          <w:tcPr>
            <w:tcW w:w="392" w:type="pct"/>
            <w:tcBorders>
              <w:tl2br w:val="nil"/>
              <w:tr2bl w:val="nil"/>
            </w:tcBorders>
            <w:shd w:val="clear" w:color="auto" w:fill="auto"/>
            <w:vAlign w:val="top"/>
          </w:tcPr>
          <w:p>
            <w:pPr>
              <w:keepNext w:val="0"/>
              <w:keepLines w:val="0"/>
              <w:pageBreakBefore w:val="0"/>
              <w:widowControl/>
              <w:numPr>
                <w:ilvl w:val="0"/>
                <w:numId w:val="4"/>
              </w:numPr>
              <w:suppressLineNumbers w:val="0"/>
              <w:tabs>
                <w:tab w:val="left" w:pos="630"/>
              </w:tabs>
              <w:kinsoku/>
              <w:wordWrap/>
              <w:overflowPunct/>
              <w:topLinePunct w:val="0"/>
              <w:autoSpaceDE/>
              <w:autoSpaceDN/>
              <w:bidi w:val="0"/>
              <w:adjustRightInd/>
              <w:snapToGrid/>
              <w:spacing w:line="312" w:lineRule="auto"/>
              <w:ind w:left="425" w:leftChars="0" w:right="357" w:rightChars="170" w:hanging="425" w:firstLineChars="0"/>
              <w:jc w:val="both"/>
              <w:textAlignment w:val="center"/>
              <w:rPr>
                <w:rFonts w:hint="eastAsia" w:ascii="仿宋_GB2312" w:hAnsi="仿宋_GB2312" w:eastAsia="仿宋_GB2312" w:cs="仿宋_GB2312"/>
                <w:i w:val="0"/>
                <w:iCs w:val="0"/>
                <w:color w:val="auto"/>
                <w:kern w:val="2"/>
                <w:sz w:val="21"/>
                <w:szCs w:val="21"/>
                <w:highlight w:val="none"/>
                <w:u w:val="none"/>
                <w:lang w:val="en-US" w:eastAsia="zh-CN" w:bidi="ar-SA"/>
              </w:rPr>
            </w:pPr>
          </w:p>
        </w:tc>
        <w:tc>
          <w:tcPr>
            <w:tcW w:w="398" w:type="pct"/>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color w:val="auto"/>
                <w:sz w:val="21"/>
                <w:szCs w:val="21"/>
                <w:highlight w:val="none"/>
                <w:lang w:val="en-US" w:eastAsia="zh-CN"/>
              </w:rPr>
            </w:pPr>
          </w:p>
        </w:tc>
        <w:tc>
          <w:tcPr>
            <w:tcW w:w="704" w:type="pct"/>
            <w:gridSpan w:val="2"/>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sz w:val="21"/>
                <w:szCs w:val="21"/>
                <w:lang w:val="en-US" w:eastAsia="zh-CN"/>
              </w:rPr>
              <w:t>安全巡检</w:t>
            </w:r>
          </w:p>
        </w:tc>
        <w:tc>
          <w:tcPr>
            <w:tcW w:w="2851" w:type="pct"/>
            <w:tcBorders>
              <w:tl2br w:val="nil"/>
              <w:tr2bl w:val="nil"/>
            </w:tcBorders>
            <w:shd w:val="clear" w:color="auto" w:fill="auto"/>
            <w:vAlign w:val="top"/>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rPr>
              <w:tab/>
            </w:r>
            <w:r>
              <w:rPr>
                <w:rFonts w:hint="eastAsia" w:ascii="仿宋_GB2312" w:hAnsi="仿宋_GB2312" w:eastAsia="仿宋_GB2312" w:cs="仿宋_GB2312"/>
                <w:sz w:val="21"/>
                <w:szCs w:val="21"/>
              </w:rPr>
              <w:t>每月一次。</w:t>
            </w:r>
          </w:p>
          <w:p>
            <w:pPr>
              <w:jc w:val="both"/>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对</w:t>
            </w:r>
            <w:r>
              <w:rPr>
                <w:rFonts w:hint="eastAsia" w:ascii="仿宋_GB2312" w:hAnsi="仿宋_GB2312" w:eastAsia="仿宋_GB2312" w:cs="仿宋_GB2312"/>
                <w:sz w:val="21"/>
                <w:szCs w:val="21"/>
                <w:lang w:val="en-US" w:eastAsia="zh-CN"/>
              </w:rPr>
              <w:t>学校</w:t>
            </w:r>
            <w:r>
              <w:rPr>
                <w:rFonts w:hint="eastAsia" w:ascii="仿宋_GB2312" w:hAnsi="仿宋_GB2312" w:eastAsia="仿宋_GB2312" w:cs="仿宋_GB2312"/>
                <w:sz w:val="21"/>
                <w:szCs w:val="21"/>
              </w:rPr>
              <w:t>所有网络信息资产进行例行的安全检查，发现问题及时协调修复，并且出具相应《巡检报告》。要求运维服务商应具备信息系统建设和服务能力认证、ITSS运行维护认证</w:t>
            </w:r>
            <w:r>
              <w:rPr>
                <w:rFonts w:hint="eastAsia" w:ascii="仿宋_GB2312" w:hAnsi="仿宋_GB2312" w:eastAsia="仿宋_GB2312" w:cs="仿宋_GB2312"/>
                <w:sz w:val="21"/>
                <w:szCs w:val="21"/>
                <w:lang w:eastAsia="zh-CN"/>
              </w:rPr>
              <w:t>。</w:t>
            </w:r>
          </w:p>
        </w:tc>
        <w:tc>
          <w:tcPr>
            <w:tcW w:w="653" w:type="pct"/>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12" w:lineRule="auto"/>
              <w:jc w:val="both"/>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kern w:val="2"/>
                <w:sz w:val="21"/>
                <w:szCs w:val="21"/>
                <w:lang w:val="en-US" w:eastAsia="zh-CN" w:bidi="ar-SA"/>
              </w:rPr>
              <w:t>24次/2年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49" w:hRule="atLeast"/>
          <w:jc w:val="center"/>
        </w:trPr>
        <w:tc>
          <w:tcPr>
            <w:tcW w:w="392" w:type="pct"/>
            <w:tcBorders>
              <w:tl2br w:val="nil"/>
              <w:tr2bl w:val="nil"/>
            </w:tcBorders>
            <w:shd w:val="clear" w:color="auto" w:fill="auto"/>
            <w:vAlign w:val="top"/>
          </w:tcPr>
          <w:p>
            <w:pPr>
              <w:keepNext w:val="0"/>
              <w:keepLines w:val="0"/>
              <w:pageBreakBefore w:val="0"/>
              <w:widowControl/>
              <w:numPr>
                <w:ilvl w:val="0"/>
                <w:numId w:val="4"/>
              </w:numPr>
              <w:suppressLineNumbers w:val="0"/>
              <w:tabs>
                <w:tab w:val="left" w:pos="630"/>
              </w:tabs>
              <w:kinsoku/>
              <w:wordWrap/>
              <w:overflowPunct/>
              <w:topLinePunct w:val="0"/>
              <w:autoSpaceDE/>
              <w:autoSpaceDN/>
              <w:bidi w:val="0"/>
              <w:adjustRightInd/>
              <w:snapToGrid/>
              <w:spacing w:line="312" w:lineRule="auto"/>
              <w:ind w:left="425" w:leftChars="0" w:right="357" w:rightChars="170" w:hanging="425" w:firstLineChars="0"/>
              <w:jc w:val="both"/>
              <w:textAlignment w:val="center"/>
              <w:rPr>
                <w:rFonts w:hint="eastAsia" w:ascii="仿宋_GB2312" w:hAnsi="仿宋_GB2312" w:eastAsia="仿宋_GB2312" w:cs="仿宋_GB2312"/>
                <w:i w:val="0"/>
                <w:iCs w:val="0"/>
                <w:color w:val="auto"/>
                <w:kern w:val="2"/>
                <w:sz w:val="21"/>
                <w:szCs w:val="21"/>
                <w:highlight w:val="none"/>
                <w:u w:val="none"/>
                <w:lang w:val="en-US" w:eastAsia="zh-CN" w:bidi="ar-SA"/>
              </w:rPr>
            </w:pPr>
          </w:p>
        </w:tc>
        <w:tc>
          <w:tcPr>
            <w:tcW w:w="398" w:type="pct"/>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color w:val="auto"/>
                <w:sz w:val="21"/>
                <w:szCs w:val="21"/>
                <w:highlight w:val="none"/>
                <w:lang w:val="en-US" w:eastAsia="zh-CN"/>
              </w:rPr>
            </w:pPr>
          </w:p>
        </w:tc>
        <w:tc>
          <w:tcPr>
            <w:tcW w:w="704" w:type="pct"/>
            <w:gridSpan w:val="2"/>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基线及漏扫服务</w:t>
            </w:r>
          </w:p>
        </w:tc>
        <w:tc>
          <w:tcPr>
            <w:tcW w:w="2851" w:type="pct"/>
            <w:tcBorders>
              <w:tl2br w:val="nil"/>
              <w:tr2bl w:val="nil"/>
            </w:tcBorders>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0" w:leftChars="0" w:firstLine="0" w:firstLineChars="0"/>
              <w:jc w:val="both"/>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基线及漏扫：利用合法合规的安全扫描工具对现有网络系统的服务器、网络设备、数据库、应用软件进行漏洞探测，对扫描结果进行人工验证，评估安全漏洞的危害程度及被威胁利用难易程度。服务成果文档包含但不限于《漏洞扫描报告》、《基线扫描报告》；服务商应具备信息安全风险评估服务能力，获得CCRC信息安全风险评估认证证书，服务工程师具备国家注册渗透测试专家认证、国家注册渗透测试工程师认证。</w:t>
            </w:r>
          </w:p>
        </w:tc>
        <w:tc>
          <w:tcPr>
            <w:tcW w:w="653"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kern w:val="2"/>
                <w:sz w:val="21"/>
                <w:szCs w:val="21"/>
                <w:lang w:val="en-US" w:eastAsia="zh-CN" w:bidi="ar-SA"/>
              </w:rPr>
              <w:t>8次/2年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9" w:hRule="atLeast"/>
          <w:jc w:val="center"/>
        </w:trPr>
        <w:tc>
          <w:tcPr>
            <w:tcW w:w="392" w:type="pct"/>
            <w:vMerge w:val="restart"/>
            <w:tcBorders>
              <w:tl2br w:val="nil"/>
              <w:tr2bl w:val="nil"/>
            </w:tcBorders>
            <w:shd w:val="clear" w:color="auto" w:fill="auto"/>
            <w:vAlign w:val="top"/>
          </w:tcPr>
          <w:p>
            <w:pPr>
              <w:keepNext w:val="0"/>
              <w:keepLines w:val="0"/>
              <w:pageBreakBefore w:val="0"/>
              <w:widowControl/>
              <w:numPr>
                <w:ilvl w:val="0"/>
                <w:numId w:val="4"/>
              </w:numPr>
              <w:suppressLineNumbers w:val="0"/>
              <w:tabs>
                <w:tab w:val="left" w:pos="630"/>
              </w:tabs>
              <w:kinsoku/>
              <w:wordWrap/>
              <w:overflowPunct/>
              <w:topLinePunct w:val="0"/>
              <w:autoSpaceDE/>
              <w:autoSpaceDN/>
              <w:bidi w:val="0"/>
              <w:adjustRightInd/>
              <w:snapToGrid/>
              <w:spacing w:line="312" w:lineRule="auto"/>
              <w:ind w:left="425" w:leftChars="0" w:right="357" w:rightChars="170" w:hanging="425" w:firstLineChars="0"/>
              <w:jc w:val="both"/>
              <w:textAlignment w:val="center"/>
              <w:rPr>
                <w:rFonts w:hint="eastAsia" w:ascii="仿宋_GB2312" w:hAnsi="仿宋_GB2312" w:eastAsia="仿宋_GB2312" w:cs="仿宋_GB2312"/>
                <w:i w:val="0"/>
                <w:iCs w:val="0"/>
                <w:color w:val="auto"/>
                <w:kern w:val="2"/>
                <w:sz w:val="21"/>
                <w:szCs w:val="21"/>
                <w:highlight w:val="none"/>
                <w:u w:val="none"/>
                <w:lang w:val="en-US" w:eastAsia="zh-CN" w:bidi="ar-SA"/>
              </w:rPr>
            </w:pPr>
          </w:p>
        </w:tc>
        <w:tc>
          <w:tcPr>
            <w:tcW w:w="398" w:type="pct"/>
            <w:vMerge w:val="continue"/>
            <w:tcBorders>
              <w:tl2br w:val="nil"/>
              <w:tr2bl w:val="nil"/>
            </w:tcBorders>
            <w:shd w:val="clear" w:color="auto" w:fill="auto"/>
            <w:vAlign w:val="top"/>
          </w:tcPr>
          <w:p>
            <w:pPr>
              <w:keepNext w:val="0"/>
              <w:keepLines w:val="0"/>
              <w:pageBreakBefore w:val="0"/>
              <w:kinsoku/>
              <w:wordWrap/>
              <w:overflowPunct/>
              <w:topLinePunct w:val="0"/>
              <w:autoSpaceDE/>
              <w:autoSpaceDN/>
              <w:bidi w:val="0"/>
              <w:adjustRightInd/>
              <w:snapToGrid/>
              <w:spacing w:line="312" w:lineRule="auto"/>
              <w:ind w:left="-2" w:leftChars="-1"/>
              <w:jc w:val="both"/>
              <w:rPr>
                <w:rFonts w:hint="eastAsia" w:ascii="仿宋_GB2312" w:hAnsi="仿宋_GB2312" w:eastAsia="仿宋_GB2312" w:cs="仿宋_GB2312"/>
                <w:color w:val="auto"/>
                <w:sz w:val="21"/>
                <w:szCs w:val="21"/>
                <w:highlight w:val="none"/>
              </w:rPr>
            </w:pPr>
          </w:p>
        </w:tc>
        <w:tc>
          <w:tcPr>
            <w:tcW w:w="398" w:type="pct"/>
            <w:vMerge w:val="restart"/>
            <w:tcBorders>
              <w:tl2br w:val="nil"/>
              <w:tr2bl w:val="nil"/>
            </w:tcBorders>
            <w:shd w:val="clear" w:color="auto" w:fill="auto"/>
            <w:vAlign w:val="top"/>
          </w:tcPr>
          <w:p>
            <w:pPr>
              <w:keepNext w:val="0"/>
              <w:keepLines w:val="0"/>
              <w:pageBreakBefore w:val="0"/>
              <w:kinsoku/>
              <w:wordWrap/>
              <w:overflowPunct/>
              <w:topLinePunct w:val="0"/>
              <w:autoSpaceDE/>
              <w:autoSpaceDN/>
              <w:bidi w:val="0"/>
              <w:adjustRightInd/>
              <w:snapToGrid/>
              <w:spacing w:line="312" w:lineRule="auto"/>
              <w:jc w:val="both"/>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网络安全培训培训服务</w:t>
            </w:r>
          </w:p>
        </w:tc>
        <w:tc>
          <w:tcPr>
            <w:tcW w:w="306" w:type="pct"/>
            <w:tcBorders>
              <w:tl2br w:val="nil"/>
              <w:tr2bl w:val="nil"/>
            </w:tcBorders>
            <w:shd w:val="clear" w:color="auto" w:fill="auto"/>
            <w:vAlign w:val="top"/>
          </w:tcPr>
          <w:p>
            <w:pPr>
              <w:keepNext w:val="0"/>
              <w:keepLines w:val="0"/>
              <w:pageBreakBefore w:val="0"/>
              <w:kinsoku/>
              <w:wordWrap/>
              <w:overflowPunct/>
              <w:topLinePunct w:val="0"/>
              <w:autoSpaceDE/>
              <w:autoSpaceDN/>
              <w:bidi w:val="0"/>
              <w:adjustRightInd/>
              <w:snapToGrid/>
              <w:spacing w:line="312" w:lineRule="auto"/>
              <w:ind w:left="-2" w:leftChars="-1"/>
              <w:jc w:val="both"/>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color w:val="auto"/>
                <w:sz w:val="21"/>
                <w:szCs w:val="21"/>
                <w:highlight w:val="none"/>
                <w:lang w:val="en-US" w:eastAsia="zh-CN"/>
              </w:rPr>
              <w:t>安全意识培训</w:t>
            </w:r>
          </w:p>
        </w:tc>
        <w:tc>
          <w:tcPr>
            <w:tcW w:w="2851" w:type="pct"/>
            <w:tcBorders>
              <w:tl2br w:val="nil"/>
              <w:tr2bl w:val="nil"/>
            </w:tcBorders>
            <w:shd w:val="clear" w:color="auto" w:fill="auto"/>
            <w:vAlign w:val="top"/>
          </w:tcPr>
          <w:p>
            <w:pPr>
              <w:keepNext w:val="0"/>
              <w:keepLines w:val="0"/>
              <w:pageBreakBefore w:val="0"/>
              <w:widowControl/>
              <w:numPr>
                <w:ilvl w:val="0"/>
                <w:numId w:val="5"/>
              </w:numPr>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提供一次网络安全意识培训工作，网络安全建设咨询不限次数。</w:t>
            </w:r>
          </w:p>
          <w:p>
            <w:pPr>
              <w:keepNext w:val="0"/>
              <w:keepLines w:val="0"/>
              <w:pageBreakBefore w:val="0"/>
              <w:widowControl/>
              <w:numPr>
                <w:ilvl w:val="0"/>
                <w:numId w:val="5"/>
              </w:numPr>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针对全校人员网络与信息安全现场或线上培训。安全意识培训内容包含法律法规要求、安全意识与安全管理、日常网络安全意识、本省实际同行业案例等内容并和学校沟通后出具相应的培训方案。</w:t>
            </w:r>
          </w:p>
          <w:p>
            <w:pPr>
              <w:keepNext w:val="0"/>
              <w:keepLines w:val="0"/>
              <w:pageBreakBefore w:val="0"/>
              <w:widowControl/>
              <w:numPr>
                <w:ilvl w:val="0"/>
                <w:numId w:val="5"/>
              </w:numPr>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培训方式：线上或线下，根据校方情况，灵活安排，线下培训场地由校方提供。</w:t>
            </w:r>
          </w:p>
        </w:tc>
        <w:tc>
          <w:tcPr>
            <w:tcW w:w="653" w:type="pct"/>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12" w:lineRule="auto"/>
              <w:jc w:val="both"/>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2次/年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54" w:hRule="atLeast"/>
          <w:jc w:val="center"/>
        </w:trPr>
        <w:tc>
          <w:tcPr>
            <w:tcW w:w="392" w:type="pct"/>
            <w:vMerge w:val="continue"/>
            <w:tcBorders>
              <w:tl2br w:val="nil"/>
              <w:tr2bl w:val="nil"/>
            </w:tcBorders>
            <w:shd w:val="clear" w:color="auto" w:fill="auto"/>
            <w:vAlign w:val="top"/>
          </w:tcPr>
          <w:p>
            <w:pPr>
              <w:keepNext w:val="0"/>
              <w:keepLines w:val="0"/>
              <w:pageBreakBefore w:val="0"/>
              <w:widowControl/>
              <w:suppressLineNumbers w:val="0"/>
              <w:tabs>
                <w:tab w:val="left" w:pos="630"/>
              </w:tabs>
              <w:kinsoku/>
              <w:wordWrap/>
              <w:overflowPunct/>
              <w:topLinePunct w:val="0"/>
              <w:autoSpaceDE/>
              <w:autoSpaceDN/>
              <w:bidi w:val="0"/>
              <w:adjustRightInd/>
              <w:snapToGrid/>
              <w:spacing w:line="312" w:lineRule="auto"/>
              <w:ind w:left="425" w:leftChars="0" w:right="357" w:rightChars="170" w:hanging="425" w:firstLineChars="0"/>
              <w:jc w:val="both"/>
              <w:textAlignment w:val="center"/>
              <w:rPr>
                <w:rFonts w:hint="eastAsia" w:ascii="仿宋_GB2312" w:hAnsi="仿宋_GB2312" w:eastAsia="仿宋_GB2312" w:cs="仿宋_GB2312"/>
                <w:i w:val="0"/>
                <w:iCs w:val="0"/>
                <w:color w:val="auto"/>
                <w:kern w:val="2"/>
                <w:sz w:val="21"/>
                <w:szCs w:val="21"/>
                <w:highlight w:val="none"/>
                <w:u w:val="none"/>
                <w:lang w:val="en-US" w:eastAsia="zh-CN" w:bidi="ar-SA"/>
              </w:rPr>
            </w:pPr>
          </w:p>
        </w:tc>
        <w:tc>
          <w:tcPr>
            <w:tcW w:w="398" w:type="pct"/>
            <w:vMerge w:val="continue"/>
            <w:tcBorders>
              <w:tl2br w:val="nil"/>
              <w:tr2bl w:val="nil"/>
            </w:tcBorders>
            <w:shd w:val="clear" w:color="auto" w:fill="auto"/>
            <w:vAlign w:val="top"/>
          </w:tcPr>
          <w:p>
            <w:pPr>
              <w:keepNext w:val="0"/>
              <w:keepLines w:val="0"/>
              <w:pageBreakBefore w:val="0"/>
              <w:kinsoku/>
              <w:wordWrap/>
              <w:overflowPunct/>
              <w:topLinePunct w:val="0"/>
              <w:autoSpaceDE/>
              <w:autoSpaceDN/>
              <w:bidi w:val="0"/>
              <w:adjustRightInd/>
              <w:snapToGrid/>
              <w:spacing w:line="312" w:lineRule="auto"/>
              <w:ind w:left="-2" w:leftChars="-1"/>
              <w:jc w:val="both"/>
              <w:rPr>
                <w:rFonts w:hint="eastAsia" w:ascii="仿宋_GB2312" w:hAnsi="仿宋_GB2312" w:eastAsia="仿宋_GB2312" w:cs="仿宋_GB2312"/>
                <w:color w:val="auto"/>
                <w:sz w:val="21"/>
                <w:szCs w:val="21"/>
                <w:highlight w:val="none"/>
              </w:rPr>
            </w:pPr>
          </w:p>
        </w:tc>
        <w:tc>
          <w:tcPr>
            <w:tcW w:w="398" w:type="pct"/>
            <w:vMerge w:val="continue"/>
            <w:tcBorders>
              <w:tl2br w:val="nil"/>
              <w:tr2bl w:val="nil"/>
            </w:tcBorders>
            <w:shd w:val="clear" w:color="auto" w:fill="auto"/>
            <w:vAlign w:val="top"/>
          </w:tcPr>
          <w:p>
            <w:pPr>
              <w:keepNext w:val="0"/>
              <w:keepLines w:val="0"/>
              <w:pageBreakBefore w:val="0"/>
              <w:kinsoku/>
              <w:wordWrap/>
              <w:overflowPunct/>
              <w:topLinePunct w:val="0"/>
              <w:autoSpaceDE/>
              <w:autoSpaceDN/>
              <w:bidi w:val="0"/>
              <w:adjustRightInd/>
              <w:snapToGrid/>
              <w:spacing w:line="312" w:lineRule="auto"/>
              <w:ind w:left="-2" w:leftChars="-1"/>
              <w:jc w:val="both"/>
              <w:rPr>
                <w:rFonts w:hint="eastAsia" w:ascii="仿宋_GB2312" w:hAnsi="仿宋_GB2312" w:eastAsia="仿宋_GB2312" w:cs="仿宋_GB2312"/>
                <w:color w:val="auto"/>
                <w:sz w:val="21"/>
                <w:szCs w:val="21"/>
                <w:highlight w:val="none"/>
              </w:rPr>
            </w:pPr>
          </w:p>
        </w:tc>
        <w:tc>
          <w:tcPr>
            <w:tcW w:w="306" w:type="pct"/>
            <w:tcBorders>
              <w:tl2br w:val="nil"/>
              <w:tr2bl w:val="nil"/>
            </w:tcBorders>
            <w:shd w:val="clear" w:color="auto" w:fill="auto"/>
            <w:vAlign w:val="top"/>
          </w:tcPr>
          <w:p>
            <w:pPr>
              <w:keepNext w:val="0"/>
              <w:keepLines w:val="0"/>
              <w:pageBreakBefore w:val="0"/>
              <w:kinsoku/>
              <w:wordWrap/>
              <w:overflowPunct/>
              <w:topLinePunct w:val="0"/>
              <w:autoSpaceDE/>
              <w:autoSpaceDN/>
              <w:bidi w:val="0"/>
              <w:adjustRightInd/>
              <w:snapToGrid/>
              <w:spacing w:line="312" w:lineRule="auto"/>
              <w:ind w:left="-2" w:leftChars="-1"/>
              <w:jc w:val="both"/>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color w:val="auto"/>
                <w:sz w:val="21"/>
                <w:szCs w:val="21"/>
                <w:highlight w:val="none"/>
                <w:lang w:val="en-US" w:eastAsia="zh-CN"/>
              </w:rPr>
              <w:t>网络安全CISP培训</w:t>
            </w:r>
          </w:p>
        </w:tc>
        <w:tc>
          <w:tcPr>
            <w:tcW w:w="2851" w:type="pct"/>
            <w:tcBorders>
              <w:tl2br w:val="nil"/>
              <w:tr2bl w:val="nil"/>
            </w:tcBorders>
            <w:shd w:val="clear" w:color="auto" w:fill="auto"/>
            <w:vAlign w:val="top"/>
          </w:tcPr>
          <w:p>
            <w:pPr>
              <w:keepNext w:val="0"/>
              <w:keepLines w:val="0"/>
              <w:pageBreakBefore w:val="0"/>
              <w:widowControl/>
              <w:numPr>
                <w:ilvl w:val="0"/>
                <w:numId w:val="6"/>
              </w:numPr>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在服务期内为学校从事网络安全相关工作的2名教职工提供网络安全CISP专业认证培训及考试认证服务。</w:t>
            </w:r>
          </w:p>
          <w:p>
            <w:pPr>
              <w:keepNext w:val="0"/>
              <w:keepLines w:val="0"/>
              <w:pageBreakBefore w:val="0"/>
              <w:widowControl/>
              <w:numPr>
                <w:ilvl w:val="0"/>
                <w:numId w:val="6"/>
              </w:numPr>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培训周期：15个工作日，全天；</w:t>
            </w:r>
          </w:p>
          <w:p>
            <w:pPr>
              <w:keepNext w:val="0"/>
              <w:keepLines w:val="0"/>
              <w:pageBreakBefore w:val="0"/>
              <w:widowControl/>
              <w:numPr>
                <w:ilvl w:val="0"/>
                <w:numId w:val="6"/>
              </w:numPr>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培训方式：线上或线下；</w:t>
            </w:r>
          </w:p>
          <w:p>
            <w:pPr>
              <w:keepNext w:val="0"/>
              <w:keepLines w:val="0"/>
              <w:pageBreakBefore w:val="0"/>
              <w:widowControl/>
              <w:numPr>
                <w:ilvl w:val="0"/>
                <w:numId w:val="6"/>
              </w:numPr>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color w:val="auto"/>
                <w:sz w:val="21"/>
                <w:szCs w:val="21"/>
                <w:highlight w:val="none"/>
                <w:lang w:val="en-US" w:eastAsia="zh-CN"/>
              </w:rPr>
              <w:t>考试方式：线下考试。</w:t>
            </w:r>
          </w:p>
        </w:tc>
        <w:tc>
          <w:tcPr>
            <w:tcW w:w="653" w:type="pct"/>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12" w:lineRule="auto"/>
              <w:jc w:val="both"/>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35" w:hRule="atLeast"/>
          <w:jc w:val="center"/>
        </w:trPr>
        <w:tc>
          <w:tcPr>
            <w:tcW w:w="392" w:type="pct"/>
            <w:tcBorders>
              <w:tl2br w:val="nil"/>
              <w:tr2bl w:val="nil"/>
            </w:tcBorders>
            <w:shd w:val="clear" w:color="auto" w:fill="auto"/>
            <w:vAlign w:val="top"/>
          </w:tcPr>
          <w:p>
            <w:pPr>
              <w:pStyle w:val="5"/>
              <w:pageBreakBefore w:val="0"/>
              <w:numPr>
                <w:ilvl w:val="0"/>
                <w:numId w:val="4"/>
              </w:numPr>
              <w:kinsoku/>
              <w:wordWrap/>
              <w:overflowPunct/>
              <w:topLinePunct w:val="0"/>
              <w:autoSpaceDE/>
              <w:autoSpaceDN/>
              <w:bidi w:val="0"/>
              <w:spacing w:line="312" w:lineRule="auto"/>
              <w:ind w:left="425" w:leftChars="0" w:hanging="425" w:firstLineChars="0"/>
              <w:jc w:val="both"/>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p>
        </w:tc>
        <w:tc>
          <w:tcPr>
            <w:tcW w:w="398"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安全托管服务</w:t>
            </w:r>
          </w:p>
        </w:tc>
        <w:tc>
          <w:tcPr>
            <w:tcW w:w="704" w:type="pct"/>
            <w:gridSpan w:val="2"/>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安全托管服务</w:t>
            </w:r>
          </w:p>
        </w:tc>
        <w:tc>
          <w:tcPr>
            <w:tcW w:w="2851" w:type="pct"/>
            <w:tcBorders>
              <w:tl2br w:val="nil"/>
              <w:tr2bl w:val="nil"/>
            </w:tcBorders>
            <w:shd w:val="clear" w:color="auto" w:fill="auto"/>
            <w:vAlign w:val="top"/>
          </w:tcPr>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服务概述：安全运营服务以保障网络安全“持续有效”为目标，围绕资产、漏洞、威胁、事件四个要素，通过云端安全运营中心和安全专家团队有效协同的“人机共智”模式7*24H持续性开展网络安全保障工作，与用户一同构建持续（7*24小时）、主动、闭环的安全运营体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二、服务内容</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1、运营准备阶段</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1.1、上线前策略检查：上线前安全专家对安全组件上的安全策略进行统一检查，确保安全组件上的安全策略始终处于最优水平，针对威胁能起到最好的防护效果。</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1.2、资产管理</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资产收集与录入：安全专家对服务资产进行收集，并将资产信息录入到安全运营平台进行管理。</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资产指纹探测：持续服务过程中安全专家定期对资产进行指纹（操作系统、中间件、软件厂商等信息）探测，并对指纹信息进行确认与更新，确保安全运营中心中资产指纹信息的准确性和全面性。</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资产变更管理：持续服务过程中安全专家定期对资产进行存活性探测，当发现未存活资产或资产发生变更时，安全专家对变更信息进行确认与更新，确保安全运营中心中资产信息的准确性和全面性。</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1.3、安全现状评估与处置</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对服务资产内漏洞问题、策略配置隐患问题进行归纳汇总。针对发现的问题提供修复方案与协助处理</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2、持续有效运营</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2.1、脆弱性管理</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漏洞扫描与验证：每季度针对服务资产的系统漏洞和Web漏洞进行全量扫描，并针对发现的漏洞进行验证，验证漏洞在已有的安全体系发生风险及分析发生后可造成的危害。</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漏洞修复优先级排序与通告：基于漏洞扫描结果、资产重要性及漏洞的威胁情报，对漏洞进行重要性排序，确定修复的优先级；并将最终结果通告给用户。</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漏洞可落地修复方案：对漏洞进行分析并输出可落地的修复方案，通过工单系统跟踪修复情况。</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漏洞复测与状态追踪：对修复的漏洞进行复测，及时更新漏洞工单的漏洞修复状态。</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弱口令分析与管理：实现信息化资产不同应用弱口令猜解检测，如：SMB、Mssql、Mysql、Oracle、smtp、VNC、ftp、telnet、ssh、mysql、tomcat等。针对不同行业提供行业密码字典，有针对性的进行内网弱口令检测，并将检测发现的问题通过工单系统跟踪修复状态。</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最新漏洞通告与排查：实时抓取互联网最新漏洞与详细资产信息进行匹配，对最新漏洞进行通告与排查。通告信息中包含最新漏洞信息、服务资产受影响情况。</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最新漏洞处置指导：一旦确认漏洞影响范围后，安全专家提供专业的处置建议，处置建议包含两部分，修复方案以及临时规避措施。</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最新漏洞复测与状态跟踪：由安全专家对该最新漏洞建立工单进行持续跟踪。</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2.2、威胁管理</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7*24H威胁分析研判：基于云端安全能力平台，云端专家提供7*24小时的威胁监测：依托于安全防护组件、检测响应组件和安全平台，将海量安全数据脱敏，包括漏洞信息、共享威胁情报、异常流量、攻击日志等数据，经由大数据处理平台结合人工智能和云端安全专家使用多种数据分析算法模型进行数据归因关联分析，实时监测网络安全状态，对安全告警和威胁进行分析研判，并生成工单；</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7*24H威胁通告：安全专家将云端分析确认后的真实威胁、事件实时通过微信、邮件等方式向用户通告，并提供处置建议。</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威胁影响面分析：安全专家针对每一个真实的威胁和告警，进行深度分析验证，分析判断受影响范围以及是否攻击成功，将深度关联分析的结果通过服务群/邮件等方式告知用户。</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威胁协助处置：安全专家针对分析结果提供对应的处置或加固建议（如封锁攻击源、设置安全策略防护等措施），并协助用户闭环</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流行威胁通告与排查：结合威胁情报，安全专家排查是否对服务资产造成影响并通知用户，及时协助进行安全加固。策略检查：每季度安全专家对安全组件上的安全策略进行统一检查，确保安全组件上的安全策略始终处于最优水平，针对威胁能起到最好的防护效果。</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策略调优：每季度安全专家根据安全威胁/事件分析的结果以及处置方式，按需对安全组件上的安全策略进行调整工作。</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2.3、事件管理</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安全事件调查与分析：安全专家7*24H在线服务，针对主机发生的安全事件开展调查分析和影响面分析，对发生的安全事件进行人工鉴定和举证分析。</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安全事件处置：对客户网络内服务资产爆发勒索病毒、挖矿病毒、篡改事件、webshell、僵尸网络等安全事件，利用一些工具和脚本对恶意文件、代码进行根除，帮助客户快速恢复业务，消除或减轻影响。安全事件跟踪闭环：对发生的安全事件进行分级分类，并通过事件工单跟踪处置的情况，保障安全事件闭环。</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重大事件应急响应：通过事件检测分析，提供抑制手段，降低入侵影响，协助快速恢复业务。排查攻击路径、恶意文件等。还原攻击路径，分析入侵事件原因，提供安全事件溯源结果。结合现有安全防御体系，指导用户进行安全加固、提供整改建议、防止再次入侵。</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3、运营成果可视</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安全运营周报：安全专家每周对服务资产进行安全运营情况的分析总结并输出《安全运营周报》。</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安全运营月报：安全专家每月对服务资产及整体安全状况进行分析总结并输出《安全运营月报》。</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安全运营半年度汇报：安全专家每半年总结阶段性安全运营情况并输出《半年度总结报告》发送给用户，向用户进行远程总结汇报。</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安全运营年度汇报：安全专家总结年度安全运营情况并输出《年度总结报告》发送给用户，向用户进行总结汇报。</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用户Portal：可视化portal支持随时查看服务范围内业务资产安全状态。支持在线展示所有脆弱性、威胁、事件工单的处置进程和结果支持用户在线对服务SLA进行查阅和监督。</w:t>
            </w:r>
          </w:p>
          <w:p>
            <w:pPr>
              <w:pStyle w:val="2"/>
              <w:ind w:left="0" w:leftChars="0" w:firstLine="0" w:firstLineChars="0"/>
              <w:jc w:val="both"/>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4、人员配置</w:t>
            </w:r>
          </w:p>
          <w:p>
            <w:pPr>
              <w:pStyle w:val="2"/>
              <w:ind w:left="0" w:leftChars="0" w:firstLine="0" w:firstLineChars="0"/>
              <w:jc w:val="both"/>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供应商需具备信息安全风险评估认证以及信息安全应急处理认证，供应商获得CCRC信息安全风险评估认证证书安全服务团队不少于5人，至少包含一渗透测试专家，二名注册渗透测试工程师，二名注册信息安全工程师。</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三、服务交付物</w:t>
            </w:r>
          </w:p>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项目启动会PPT》、《首次安全威胁分析报告》《漏洞举证报告》、《漏洞清单》、《应急响应报告》、《事件处置报告》、《威胁情报》、《安全运营周报》、《安全运营月报》、《半年度总结汇报》、《年度总结汇报》</w:t>
            </w:r>
          </w:p>
        </w:tc>
        <w:tc>
          <w:tcPr>
            <w:tcW w:w="653"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b w:val="0"/>
                <w:bCs w:val="0"/>
                <w:i w:val="0"/>
                <w:iCs w:val="0"/>
                <w:color w:val="auto"/>
                <w:sz w:val="21"/>
                <w:szCs w:val="21"/>
                <w:highlight w:val="none"/>
                <w:u w:val="none"/>
                <w:lang w:val="en-US" w:eastAsia="zh-CN"/>
              </w:rPr>
            </w:pPr>
            <w:r>
              <w:rPr>
                <w:rFonts w:hint="eastAsia" w:ascii="仿宋_GB2312" w:hAnsi="仿宋_GB2312" w:eastAsia="仿宋_GB2312" w:cs="仿宋_GB2312"/>
                <w:b w:val="0"/>
                <w:bCs w:val="0"/>
                <w:i w:val="0"/>
                <w:iCs w:val="0"/>
                <w:color w:val="auto"/>
                <w:sz w:val="21"/>
                <w:szCs w:val="21"/>
                <w:highlight w:val="none"/>
                <w:u w:val="none"/>
                <w:lang w:val="en-US" w:eastAsia="zh-CN"/>
              </w:rPr>
              <w:t>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28" w:hRule="atLeast"/>
          <w:jc w:val="center"/>
        </w:trPr>
        <w:tc>
          <w:tcPr>
            <w:tcW w:w="392" w:type="pct"/>
            <w:tcBorders>
              <w:tl2br w:val="nil"/>
              <w:tr2bl w:val="nil"/>
            </w:tcBorders>
            <w:shd w:val="clear" w:color="auto" w:fill="auto"/>
            <w:vAlign w:val="top"/>
          </w:tcPr>
          <w:p>
            <w:pPr>
              <w:pStyle w:val="5"/>
              <w:pageBreakBefore w:val="0"/>
              <w:numPr>
                <w:ilvl w:val="3"/>
                <w:numId w:val="0"/>
              </w:numPr>
              <w:kinsoku/>
              <w:wordWrap/>
              <w:overflowPunct/>
              <w:topLinePunct w:val="0"/>
              <w:autoSpaceDE/>
              <w:autoSpaceDN/>
              <w:bidi w:val="0"/>
              <w:spacing w:line="312" w:lineRule="auto"/>
              <w:ind w:leftChars="0"/>
              <w:jc w:val="both"/>
              <w:rPr>
                <w:rFonts w:hint="default"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7</w:t>
            </w:r>
          </w:p>
        </w:tc>
        <w:tc>
          <w:tcPr>
            <w:tcW w:w="398" w:type="pc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center"/>
              <w:rPr>
                <w:rFonts w:hint="eastAsia" w:ascii="仿宋_GB2312" w:hAnsi="仿宋_GB2312" w:eastAsia="仿宋_GB2312" w:cs="仿宋_GB2312"/>
                <w:color w:val="auto"/>
                <w:sz w:val="21"/>
                <w:szCs w:val="21"/>
                <w:highlight w:val="none"/>
                <w:lang w:val="en-US" w:eastAsia="zh-CN"/>
              </w:rPr>
            </w:pPr>
          </w:p>
        </w:tc>
        <w:tc>
          <w:tcPr>
            <w:tcW w:w="704" w:type="pct"/>
            <w:gridSpan w:val="2"/>
            <w:tcBorders>
              <w:tl2br w:val="nil"/>
              <w:tr2bl w:val="nil"/>
            </w:tcBorders>
            <w:shd w:val="clear" w:color="auto" w:fill="auto"/>
            <w:vAlign w:val="top"/>
          </w:tcPr>
          <w:p>
            <w:pPr>
              <w:keepNext w:val="0"/>
              <w:keepLines w:val="0"/>
              <w:pageBreakBefore w:val="0"/>
              <w:kinsoku/>
              <w:wordWrap/>
              <w:overflowPunct/>
              <w:topLinePunct w:val="0"/>
              <w:autoSpaceDE/>
              <w:autoSpaceDN/>
              <w:bidi w:val="0"/>
              <w:adjustRightInd/>
              <w:snapToGrid/>
              <w:spacing w:line="312" w:lineRule="auto"/>
              <w:ind w:left="-2" w:leftChars="-1"/>
              <w:jc w:val="both"/>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第三方应急支撑服务</w:t>
            </w:r>
          </w:p>
        </w:tc>
        <w:tc>
          <w:tcPr>
            <w:tcW w:w="2851" w:type="pct"/>
            <w:tcBorders>
              <w:tl2br w:val="nil"/>
              <w:tr2bl w:val="nil"/>
            </w:tcBorders>
            <w:shd w:val="clear" w:color="auto" w:fill="auto"/>
            <w:vAlign w:val="top"/>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12" w:lineRule="auto"/>
              <w:ind w:left="0" w:leftChars="0" w:firstLine="420" w:firstLineChars="200"/>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若遇省/市主管部门下达网络与信息安全自查整改通报，协助网络安全团队积极完成问题整改，形成问题回执函，并协助后期整改。国家级安全生产大型检查期间，派遣专职安全工程师指导。</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12" w:lineRule="auto"/>
              <w:ind w:left="0" w:leftChars="0" w:firstLine="420" w:firstLineChars="200"/>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在突发/重大信息安全事件后对包括计算机运行在内的业务系统进行维持或恢复，提供7×24小时应急响应支持；接到应急响应需求后，30分钟以内，提供响应支撑，响应方式包括电话、邮件、微信、QQ、现场处置等。</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12" w:lineRule="auto"/>
              <w:ind w:left="0" w:leftChars="0" w:firstLine="420" w:firstLineChars="200"/>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响应结束后提交详细《应急响应报告》，报告内容包含但不限于事件起因、分析过程、处理过程、处理方法、处理结果、整改建议等，并保持一个月的后期跟踪，因此服务商具应备信息安全风险评估服务能力，获得CCRC信息安全风险评估认证证书，服务工程师具备国家注册渗透测试专家认证、国家注册渗透测试工程师认证。</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12" w:lineRule="auto"/>
              <w:ind w:left="0" w:leftChars="0" w:firstLine="420" w:firstLineChars="200"/>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针对主管部门要求学校对网络与信息安全状况开展自查工作时，协助学校完成网络安全自查报告。</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12" w:lineRule="auto"/>
              <w:ind w:left="0" w:leftChars="0" w:firstLine="420" w:firstLineChars="200"/>
              <w:jc w:val="both"/>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重保服务是在重要时期为关键信息系统提供：学校架构设计、积极防御、实时检测、响应处置、攻击预测等安全服务，以提高学校的网络安全保障能力，保障重大活动的顺利进行，成立重保领导小组，重保领导小组由学校分管网络安全领导及服务方重保负责人联合组成，主要负责安全保障工作中关键问题的决策，以及为重保工作的顺利开展协调充足的资源。重保领导小组下设学校重保工作小组和服务方重保工作小组，主要负责重保工作中的具体安保工作的执行以及双方在重保工作中的配合与沟通，因此服务商应具备信息系统建设和服务能力认证以及信息安全风险评估服务能力，获得CCRC信息安全风险评估认证证书，服务工程师具备国家注册渗透测试专家认证、国家注册渗透测试工程师认证。</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12" w:lineRule="auto"/>
              <w:ind w:left="0" w:leftChars="0" w:firstLine="420" w:firstLineChars="200"/>
              <w:jc w:val="both"/>
              <w:textAlignment w:val="center"/>
              <w:rPr>
                <w:rFonts w:hint="default"/>
                <w:lang w:val="en-US" w:eastAsia="zh-CN"/>
              </w:rPr>
            </w:pPr>
            <w:r>
              <w:rPr>
                <w:rFonts w:hint="eastAsia" w:ascii="仿宋_GB2312" w:hAnsi="仿宋_GB2312" w:eastAsia="仿宋_GB2312" w:cs="仿宋_GB2312"/>
                <w:b w:val="0"/>
                <w:bCs w:val="0"/>
                <w:i w:val="0"/>
                <w:iCs w:val="0"/>
                <w:color w:val="auto"/>
                <w:kern w:val="0"/>
                <w:sz w:val="21"/>
                <w:szCs w:val="21"/>
                <w:highlight w:val="none"/>
                <w:u w:val="none"/>
                <w:lang w:val="en-US" w:eastAsia="zh-CN" w:bidi="ar"/>
              </w:rPr>
              <w:t>重要时期以贵州省教育厅文件及学校重保要求为准，累计时间不得少于2个月/年。</w:t>
            </w:r>
          </w:p>
        </w:tc>
        <w:tc>
          <w:tcPr>
            <w:tcW w:w="653" w:type="pct"/>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12" w:lineRule="auto"/>
              <w:jc w:val="both"/>
              <w:rPr>
                <w:rFonts w:hint="eastAsia" w:ascii="仿宋_GB2312" w:hAnsi="仿宋_GB2312" w:eastAsia="仿宋_GB2312" w:cs="仿宋_GB2312"/>
                <w:b w:val="0"/>
                <w:bCs w:val="0"/>
                <w:i w:val="0"/>
                <w:iCs w:val="0"/>
                <w:color w:val="auto"/>
                <w:sz w:val="21"/>
                <w:szCs w:val="21"/>
                <w:highlight w:val="none"/>
                <w:u w:val="none"/>
                <w:lang w:val="en-US" w:eastAsia="zh-CN"/>
              </w:rPr>
            </w:pPr>
            <w:r>
              <w:rPr>
                <w:rFonts w:hint="eastAsia" w:ascii="仿宋_GB2312" w:hAnsi="仿宋_GB2312" w:eastAsia="仿宋_GB2312" w:cs="仿宋_GB2312"/>
                <w:color w:val="auto"/>
                <w:kern w:val="2"/>
                <w:sz w:val="21"/>
                <w:szCs w:val="21"/>
                <w:highlight w:val="none"/>
                <w:lang w:val="en-US" w:eastAsia="zh-CN" w:bidi="ar-SA"/>
              </w:rPr>
              <w:t>2年</w:t>
            </w:r>
          </w:p>
        </w:tc>
      </w:tr>
      <w:bookmarkEnd w:id="2"/>
    </w:tbl>
    <w:p>
      <w:pPr>
        <w:pStyle w:val="2"/>
        <w:ind w:left="0" w:leftChars="0" w:firstLine="0" w:firstLineChars="0"/>
        <w:jc w:val="both"/>
        <w:rPr>
          <w:rFonts w:hint="default" w:ascii="仿宋_GB2312" w:hAnsi="仿宋_GB2312" w:eastAsia="仿宋_GB2312" w:cs="仿宋_GB2312"/>
          <w:sz w:val="28"/>
          <w:szCs w:val="28"/>
          <w:lang w:val="en-US" w:eastAsia="zh-CN"/>
        </w:rPr>
      </w:pPr>
    </w:p>
    <w:p>
      <w:pPr>
        <w:widowControl/>
        <w:jc w:val="both"/>
        <w:rPr>
          <w:rFonts w:hint="eastAsia"/>
          <w:sz w:val="48"/>
        </w:rPr>
      </w:pPr>
    </w:p>
    <w:sectPr>
      <w:footerReference r:id="rId5"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61F36"/>
    <w:multiLevelType w:val="singleLevel"/>
    <w:tmpl w:val="8D361F36"/>
    <w:lvl w:ilvl="0" w:tentative="0">
      <w:start w:val="1"/>
      <w:numFmt w:val="decimal"/>
      <w:suff w:val="nothing"/>
      <w:lvlText w:val="%1、"/>
      <w:lvlJc w:val="left"/>
    </w:lvl>
  </w:abstractNum>
  <w:abstractNum w:abstractNumId="1">
    <w:nsid w:val="D4C2224D"/>
    <w:multiLevelType w:val="multilevel"/>
    <w:tmpl w:val="D4C2224D"/>
    <w:lvl w:ilvl="0" w:tentative="0">
      <w:start w:val="1"/>
      <w:numFmt w:val="chineseCounting"/>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2">
    <w:nsid w:val="FD8DBF99"/>
    <w:multiLevelType w:val="singleLevel"/>
    <w:tmpl w:val="FD8DBF99"/>
    <w:lvl w:ilvl="0" w:tentative="0">
      <w:start w:val="1"/>
      <w:numFmt w:val="decimal"/>
      <w:suff w:val="nothing"/>
      <w:lvlText w:val="%1．"/>
      <w:lvlJc w:val="left"/>
      <w:pPr>
        <w:ind w:left="-420" w:firstLine="400"/>
      </w:pPr>
      <w:rPr>
        <w:rFonts w:hint="default"/>
      </w:rPr>
    </w:lvl>
  </w:abstractNum>
  <w:abstractNum w:abstractNumId="3">
    <w:nsid w:val="274B589D"/>
    <w:multiLevelType w:val="singleLevel"/>
    <w:tmpl w:val="274B589D"/>
    <w:lvl w:ilvl="0" w:tentative="0">
      <w:start w:val="1"/>
      <w:numFmt w:val="decimal"/>
      <w:suff w:val="nothing"/>
      <w:lvlText w:val="%1、"/>
      <w:lvlJc w:val="left"/>
    </w:lvl>
  </w:abstractNum>
  <w:abstractNum w:abstractNumId="4">
    <w:nsid w:val="475CF9B9"/>
    <w:multiLevelType w:val="singleLevel"/>
    <w:tmpl w:val="475CF9B9"/>
    <w:lvl w:ilvl="0" w:tentative="0">
      <w:start w:val="1"/>
      <w:numFmt w:val="decimal"/>
      <w:suff w:val="nothing"/>
      <w:lvlText w:val="%1、"/>
      <w:lvlJc w:val="left"/>
    </w:lvl>
  </w:abstractNum>
  <w:abstractNum w:abstractNumId="5">
    <w:nsid w:val="4AAD6CA9"/>
    <w:multiLevelType w:val="singleLevel"/>
    <w:tmpl w:val="4AAD6CA9"/>
    <w:lvl w:ilvl="0" w:tentative="0">
      <w:start w:val="1"/>
      <w:numFmt w:val="decimal"/>
      <w:suff w:val="nothing"/>
      <w:lvlText w:val="%1．"/>
      <w:lvlJc w:val="left"/>
      <w:pPr>
        <w:ind w:left="0" w:firstLine="400"/>
      </w:pPr>
      <w:rPr>
        <w:rFonts w:hint="default"/>
      </w:rPr>
    </w:lvl>
  </w:abstractNum>
  <w:abstractNum w:abstractNumId="6">
    <w:nsid w:val="54456164"/>
    <w:multiLevelType w:val="singleLevel"/>
    <w:tmpl w:val="54456164"/>
    <w:lvl w:ilvl="0" w:tentative="0">
      <w:start w:val="1"/>
      <w:numFmt w:val="decimal"/>
      <w:lvlText w:val="%1."/>
      <w:lvlJc w:val="left"/>
      <w:pPr>
        <w:ind w:left="425" w:hanging="425"/>
      </w:pPr>
      <w:rPr>
        <w:rFonts w:hint="default"/>
      </w:rPr>
    </w:lvl>
  </w:abstractNum>
  <w:abstractNum w:abstractNumId="7">
    <w:nsid w:val="595A27FB"/>
    <w:multiLevelType w:val="singleLevel"/>
    <w:tmpl w:val="595A27FB"/>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5MTliMWFmYTZjOTMyZjY5NTI5MDE3MzQxMzJiM2IifQ=="/>
  </w:docVars>
  <w:rsids>
    <w:rsidRoot w:val="0015788A"/>
    <w:rsid w:val="0015788A"/>
    <w:rsid w:val="00207FE4"/>
    <w:rsid w:val="002968CA"/>
    <w:rsid w:val="00335955"/>
    <w:rsid w:val="00337EAF"/>
    <w:rsid w:val="003F09BB"/>
    <w:rsid w:val="004417DF"/>
    <w:rsid w:val="004A33F5"/>
    <w:rsid w:val="005D42C6"/>
    <w:rsid w:val="005F3528"/>
    <w:rsid w:val="007660A7"/>
    <w:rsid w:val="007A100C"/>
    <w:rsid w:val="009540CE"/>
    <w:rsid w:val="00B756C0"/>
    <w:rsid w:val="00CC047B"/>
    <w:rsid w:val="00D07706"/>
    <w:rsid w:val="00D4653F"/>
    <w:rsid w:val="00E237B8"/>
    <w:rsid w:val="00E97F4B"/>
    <w:rsid w:val="00ED1736"/>
    <w:rsid w:val="00EE3595"/>
    <w:rsid w:val="0AA95618"/>
    <w:rsid w:val="14AB51CD"/>
    <w:rsid w:val="27A13662"/>
    <w:rsid w:val="3F4F2600"/>
    <w:rsid w:val="41576339"/>
    <w:rsid w:val="420309A1"/>
    <w:rsid w:val="462815D1"/>
    <w:rsid w:val="48184419"/>
    <w:rsid w:val="4B87792F"/>
    <w:rsid w:val="55751A02"/>
    <w:rsid w:val="6B1640EA"/>
    <w:rsid w:val="75F35C20"/>
    <w:rsid w:val="770D46B1"/>
    <w:rsid w:val="77605815"/>
    <w:rsid w:val="973B818F"/>
    <w:rsid w:val="BFF7D07D"/>
    <w:rsid w:val="C9DEC3A7"/>
    <w:rsid w:val="F1CB7C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szCs w:val="24"/>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szCs w:val="24"/>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szCs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Times New Roman" w:hAnsi="Times New Roman"/>
      <w:sz w:val="24"/>
      <w:szCs w:val="20"/>
    </w:rPr>
  </w:style>
  <w:style w:type="paragraph" w:styleId="6">
    <w:name w:val="Body Text"/>
    <w:basedOn w:val="1"/>
    <w:next w:val="7"/>
    <w:qFormat/>
    <w:uiPriority w:val="0"/>
    <w:pPr>
      <w:spacing w:after="120" w:afterLines="0" w:afterAutospacing="0"/>
    </w:pPr>
    <w:rPr>
      <w:szCs w:val="24"/>
    </w:rPr>
  </w:style>
  <w:style w:type="paragraph" w:styleId="7">
    <w:name w:val="Body Text 2"/>
    <w:basedOn w:val="1"/>
    <w:semiHidden/>
    <w:unhideWhenUsed/>
    <w:qFormat/>
    <w:uiPriority w:val="0"/>
    <w:pPr>
      <w:spacing w:after="120" w:line="480" w:lineRule="auto"/>
    </w:pPr>
    <w:rPr>
      <w:szCs w:val="24"/>
    </w:rPr>
  </w:style>
  <w:style w:type="paragraph" w:styleId="8">
    <w:name w:val="Date"/>
    <w:basedOn w:val="1"/>
    <w:next w:val="1"/>
    <w:link w:val="15"/>
    <w:uiPriority w:val="0"/>
    <w:pPr>
      <w:ind w:left="100" w:leftChars="2500"/>
    </w:pPr>
  </w:style>
  <w:style w:type="paragraph" w:styleId="9">
    <w:name w:val="Balloon Text"/>
    <w:basedOn w:val="1"/>
    <w:link w:val="18"/>
    <w:qFormat/>
    <w:uiPriority w:val="0"/>
    <w:rPr>
      <w:sz w:val="18"/>
      <w:szCs w:val="18"/>
    </w:rPr>
  </w:style>
  <w:style w:type="paragraph" w:styleId="10">
    <w:name w:val="footer"/>
    <w:basedOn w:val="1"/>
    <w:link w:val="17"/>
    <w:qFormat/>
    <w:uiPriority w:val="0"/>
    <w:pPr>
      <w:tabs>
        <w:tab w:val="center" w:pos="4153"/>
        <w:tab w:val="right" w:pos="8306"/>
      </w:tabs>
      <w:snapToGrid w:val="0"/>
      <w:jc w:val="left"/>
    </w:pPr>
    <w:rPr>
      <w:sz w:val="18"/>
      <w:szCs w:val="18"/>
    </w:rPr>
  </w:style>
  <w:style w:type="paragraph" w:styleId="11">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日期 Char"/>
    <w:basedOn w:val="14"/>
    <w:link w:val="8"/>
    <w:semiHidden/>
    <w:qFormat/>
    <w:uiPriority w:val="99"/>
  </w:style>
  <w:style w:type="character" w:customStyle="1" w:styleId="16">
    <w:name w:val="页眉 Char"/>
    <w:basedOn w:val="14"/>
    <w:link w:val="11"/>
    <w:qFormat/>
    <w:uiPriority w:val="99"/>
    <w:rPr>
      <w:kern w:val="2"/>
      <w:sz w:val="18"/>
      <w:szCs w:val="18"/>
    </w:rPr>
  </w:style>
  <w:style w:type="character" w:customStyle="1" w:styleId="17">
    <w:name w:val="页脚 Char"/>
    <w:basedOn w:val="14"/>
    <w:link w:val="10"/>
    <w:qFormat/>
    <w:uiPriority w:val="99"/>
    <w:rPr>
      <w:kern w:val="2"/>
      <w:sz w:val="18"/>
      <w:szCs w:val="18"/>
    </w:rPr>
  </w:style>
  <w:style w:type="character" w:customStyle="1" w:styleId="18">
    <w:name w:val="批注框文本 Char"/>
    <w:basedOn w:val="14"/>
    <w:link w:val="9"/>
    <w:semiHidden/>
    <w:qFormat/>
    <w:uiPriority w:val="99"/>
    <w:rPr>
      <w:kern w:val="2"/>
      <w:sz w:val="18"/>
      <w:szCs w:val="18"/>
    </w:rPr>
  </w:style>
  <w:style w:type="paragraph" w:styleId="19">
    <w:name w:val="List Paragraph"/>
    <w:basedOn w:val="1"/>
    <w:qFormat/>
    <w:uiPriority w:val="34"/>
    <w:pPr>
      <w:ind w:firstLine="420" w:firstLineChars="200"/>
    </w:pPr>
    <w:rPr>
      <w:rFonts w:ascii="Calibri" w:hAnsi="Calibri" w:eastAsia="宋体" w:cs="Times New Roman"/>
    </w:rPr>
  </w:style>
  <w:style w:type="paragraph" w:customStyle="1" w:styleId="20">
    <w:name w:val="正文-奇安信"/>
    <w:basedOn w:val="1"/>
    <w:qFormat/>
    <w:uiPriority w:val="0"/>
    <w:pPr>
      <w:spacing w:line="360" w:lineRule="auto"/>
      <w:ind w:firstLine="42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6107</Words>
  <Characters>6359</Characters>
  <Lines>0</Lines>
  <Paragraphs>0</Paragraphs>
  <TotalTime>206</TotalTime>
  <ScaleCrop>false</ScaleCrop>
  <LinksUpToDate>false</LinksUpToDate>
  <CharactersWithSpaces>6369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2022-12-20T08:29:00Z</dcterms:created>
  <dc:creator>Administrator</dc:creator>
  <cp:lastModifiedBy>Administrator</cp:lastModifiedBy>
  <cp:lastPrinted>2022-12-28T08:24:00Z</cp:lastPrinted>
  <dcterms:modified xsi:type="dcterms:W3CDTF">2023-02-24T03:24:38Z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62B95D5BD06C4D5E8FDB40483E9828D6</vt:lpwstr>
  </property>
</Properties>
</file>